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</w:p>
    <w:p>
      <w:pPr>
        <w:jc w:val="center"/>
        <w:rPr>
          <w:rFonts w:ascii="楷体" w:hAnsi="楷体" w:eastAsia="楷体"/>
          <w:sz w:val="84"/>
          <w:szCs w:val="84"/>
        </w:rPr>
      </w:pPr>
      <w:r>
        <w:rPr>
          <w:rFonts w:hint="eastAsia" w:ascii="楷体" w:hAnsi="楷体" w:eastAsia="楷体"/>
          <w:sz w:val="84"/>
          <w:szCs w:val="84"/>
          <w:lang w:eastAsia="zh-CN"/>
        </w:rPr>
        <w:t>双湖县</w:t>
      </w:r>
      <w:r>
        <w:rPr>
          <w:rFonts w:hint="eastAsia" w:ascii="楷体" w:hAnsi="楷体" w:eastAsia="楷体"/>
          <w:sz w:val="84"/>
          <w:szCs w:val="84"/>
        </w:rPr>
        <w:t>法院2018年度部门预算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  <w:u w:val="single"/>
        </w:rPr>
      </w:pPr>
      <w:r>
        <w:rPr>
          <w:rFonts w:hint="eastAsia" w:ascii="黑体" w:hAnsi="黑体" w:eastAsia="黑体"/>
          <w:sz w:val="44"/>
          <w:szCs w:val="44"/>
          <w:u w:val="single"/>
        </w:rPr>
        <w:t>2018年</w:t>
      </w:r>
      <w:r>
        <w:rPr>
          <w:rFonts w:hint="eastAsia" w:ascii="黑体" w:hAnsi="黑体" w:eastAsia="黑体"/>
          <w:sz w:val="44"/>
          <w:szCs w:val="44"/>
          <w:u w:val="single"/>
          <w:lang w:val="en-US" w:eastAsia="zh-CN"/>
        </w:rPr>
        <w:t>6</w:t>
      </w:r>
      <w:r>
        <w:rPr>
          <w:rFonts w:hint="eastAsia" w:ascii="黑体" w:hAnsi="黑体" w:eastAsia="黑体"/>
          <w:sz w:val="44"/>
          <w:szCs w:val="44"/>
          <w:u w:val="single"/>
        </w:rPr>
        <w:t>月1</w:t>
      </w:r>
      <w:bookmarkStart w:id="4" w:name="_GoBack"/>
      <w:bookmarkEnd w:id="4"/>
      <w:r>
        <w:rPr>
          <w:rFonts w:hint="eastAsia" w:ascii="黑体" w:hAnsi="黑体" w:eastAsia="黑体"/>
          <w:sz w:val="44"/>
          <w:szCs w:val="44"/>
          <w:u w:val="single"/>
        </w:rPr>
        <w:t>日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   法院概况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部门预算单位构成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二、部门职责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第二部分  法院2018年部门预算明细表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四、一般公共预算“三公”经费支出表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七、部门支出总表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第三部分 法院2018年度部门预算数据分析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第四部分   名词解释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双湖县</w:t>
      </w:r>
      <w:r>
        <w:rPr>
          <w:rFonts w:hint="eastAsia" w:ascii="黑体" w:hAnsi="黑体" w:eastAsia="黑体"/>
          <w:sz w:val="44"/>
          <w:szCs w:val="44"/>
        </w:rPr>
        <w:t>法院2018年度部门预算</w:t>
      </w:r>
    </w:p>
    <w:p>
      <w:pPr>
        <w:tabs>
          <w:tab w:val="left" w:pos="5175"/>
        </w:tabs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第一部分</w:t>
      </w:r>
    </w:p>
    <w:p>
      <w:pPr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32"/>
          <w:szCs w:val="32"/>
        </w:rPr>
        <w:t>一、部门预算单位构成</w:t>
      </w:r>
    </w:p>
    <w:p>
      <w:pPr>
        <w:pStyle w:val="9"/>
        <w:ind w:left="4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法院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1级</w:t>
      </w:r>
      <w:r>
        <w:rPr>
          <w:rFonts w:hint="eastAsia" w:ascii="仿宋" w:hAnsi="仿宋" w:eastAsia="仿宋"/>
          <w:sz w:val="32"/>
          <w:szCs w:val="32"/>
        </w:rPr>
        <w:t>预算部门构成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2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部门职责和机构设置</w:t>
      </w:r>
      <w:r>
        <w:rPr>
          <w:rFonts w:ascii="宋体" w:hAnsi="宋体"/>
          <w:b/>
          <w:bCs/>
          <w:color w:val="000000"/>
          <w:sz w:val="27"/>
          <w:szCs w:val="27"/>
        </w:rPr>
        <w:t>　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（一）依法审理法律规定由基层人民法院管辖审理的刑事、民事、行政等一审案件。</w:t>
      </w:r>
    </w:p>
    <w:p>
      <w:pPr>
        <w:pStyle w:val="5"/>
        <w:spacing w:before="0" w:beforeAutospacing="0" w:after="0" w:afterAutospacing="0"/>
        <w:ind w:firstLine="66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（二）依法受理当事人不服本院发生法律效力的判决、裁定并提起申诉的刑事、行政诉讼案件。</w:t>
      </w:r>
    </w:p>
    <w:p>
      <w:pPr>
        <w:pStyle w:val="5"/>
        <w:spacing w:before="0" w:beforeAutospacing="0" w:after="0" w:afterAutospacing="0"/>
        <w:ind w:firstLine="66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（三）依法行使执行权和司法决定权。</w:t>
      </w:r>
    </w:p>
    <w:p>
      <w:pPr>
        <w:pStyle w:val="5"/>
        <w:spacing w:before="0" w:beforeAutospacing="0" w:after="0" w:afterAutospacing="0"/>
        <w:ind w:firstLine="66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四</w:t>
      </w:r>
      <w:r>
        <w:rPr>
          <w:rFonts w:ascii="仿宋" w:hAnsi="仿宋" w:eastAsia="仿宋"/>
          <w:color w:val="000000"/>
          <w:sz w:val="32"/>
          <w:szCs w:val="32"/>
        </w:rPr>
        <w:t>）指导基层法庭工作。</w:t>
      </w:r>
    </w:p>
    <w:p>
      <w:pPr>
        <w:pStyle w:val="5"/>
        <w:spacing w:before="0" w:beforeAutospacing="0" w:after="0" w:afterAutospacing="0"/>
        <w:ind w:firstLine="660"/>
        <w:jc w:val="both"/>
        <w:rPr>
          <w:rFonts w:ascii="仿宋" w:hAnsi="仿宋" w:eastAsia="仿宋"/>
          <w:color w:val="222222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五</w:t>
      </w:r>
      <w:r>
        <w:rPr>
          <w:rFonts w:ascii="仿宋" w:hAnsi="仿宋" w:eastAsia="仿宋"/>
          <w:color w:val="000000"/>
          <w:sz w:val="32"/>
          <w:szCs w:val="32"/>
        </w:rPr>
        <w:t>）宣传法制，教育公民忠于社会主义祖国，自觉遵守宪法、法律和社会公德。</w:t>
      </w:r>
      <w:r>
        <w:rPr>
          <w:rFonts w:ascii="仿宋" w:hAnsi="仿宋" w:eastAsia="仿宋"/>
          <w:color w:val="333333"/>
          <w:sz w:val="32"/>
          <w:szCs w:val="32"/>
        </w:rPr>
        <w:br w:type="textWrapping"/>
      </w:r>
      <w:r>
        <w:rPr>
          <w:rFonts w:ascii="仿宋" w:hAnsi="仿宋" w:eastAsia="仿宋"/>
          <w:color w:val="000000"/>
          <w:sz w:val="32"/>
          <w:szCs w:val="32"/>
        </w:rPr>
        <w:t>　　（</w:t>
      </w:r>
      <w:r>
        <w:rPr>
          <w:rFonts w:hint="eastAsia" w:ascii="仿宋" w:hAnsi="仿宋" w:eastAsia="仿宋"/>
          <w:color w:val="000000"/>
          <w:sz w:val="32"/>
          <w:szCs w:val="32"/>
        </w:rPr>
        <w:t>六</w:t>
      </w:r>
      <w:r>
        <w:rPr>
          <w:rFonts w:ascii="仿宋" w:hAnsi="仿宋" w:eastAsia="仿宋"/>
          <w:color w:val="000000"/>
          <w:sz w:val="32"/>
          <w:szCs w:val="32"/>
        </w:rPr>
        <w:t>）积极参与社会治安综合治理。</w:t>
      </w:r>
      <w:r>
        <w:rPr>
          <w:rFonts w:ascii="仿宋" w:hAnsi="仿宋" w:eastAsia="仿宋"/>
          <w:color w:val="333333"/>
          <w:sz w:val="32"/>
          <w:szCs w:val="32"/>
        </w:rPr>
        <w:br w:type="textWrapping"/>
      </w:r>
      <w:r>
        <w:rPr>
          <w:rFonts w:ascii="仿宋" w:hAnsi="仿宋" w:eastAsia="仿宋"/>
          <w:color w:val="000000"/>
          <w:sz w:val="32"/>
          <w:szCs w:val="32"/>
        </w:rPr>
        <w:t>　　（</w:t>
      </w:r>
      <w:r>
        <w:rPr>
          <w:rFonts w:hint="eastAsia" w:ascii="仿宋" w:hAnsi="仿宋" w:eastAsia="仿宋"/>
          <w:color w:val="000000"/>
          <w:sz w:val="32"/>
          <w:szCs w:val="32"/>
        </w:rPr>
        <w:t>七</w:t>
      </w:r>
      <w:r>
        <w:rPr>
          <w:rFonts w:ascii="仿宋" w:hAnsi="仿宋" w:eastAsia="仿宋"/>
          <w:color w:val="000000"/>
          <w:sz w:val="32"/>
          <w:szCs w:val="32"/>
        </w:rPr>
        <w:t>）承办其它应由基层人民法院负责的工作。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　　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iCs/>
          <w:color w:val="000000"/>
          <w:kern w:val="0"/>
          <w:sz w:val="32"/>
        </w:rPr>
        <w:t>（二）部门机构设置</w:t>
      </w:r>
    </w:p>
    <w:p>
      <w:pPr>
        <w:widowControl/>
        <w:ind w:firstLine="64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人民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法院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无下设单位。</w:t>
      </w: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第二部分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  <w:r>
        <w:rPr>
          <w:rFonts w:hint="eastAsia" w:ascii="仿宋" w:hAnsi="仿宋" w:eastAsia="仿宋" w:cs="仿宋"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仿宋" w:hAnsi="仿宋" w:eastAsia="仿宋" w:cs="仿宋"/>
          <w:iCs/>
          <w:color w:val="000000"/>
          <w:kern w:val="0"/>
          <w:sz w:val="32"/>
        </w:rPr>
        <w:t>法院2018年度预算明细表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四、一般公共预算“三公”经费支出表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七、部门支出总表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仿宋"/>
          <w:iCs/>
          <w:color w:val="000000"/>
          <w:kern w:val="0"/>
          <w:sz w:val="32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hAnsi="楷体" w:eastAsia="楷体" w:cs="Arial"/>
          <w:iCs/>
          <w:color w:val="000000"/>
          <w:kern w:val="0"/>
          <w:sz w:val="44"/>
          <w:szCs w:val="44"/>
        </w:rPr>
      </w:pPr>
      <w:r>
        <w:rPr>
          <w:rFonts w:hint="eastAsia" w:ascii="楷体" w:hAnsi="楷体" w:eastAsia="楷体" w:cs="Arial"/>
          <w:iCs/>
          <w:color w:val="000000"/>
          <w:kern w:val="0"/>
          <w:sz w:val="44"/>
          <w:szCs w:val="44"/>
        </w:rPr>
        <w:t>第三部分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宋体" w:hAnsi="宋体" w:eastAsia="宋体" w:cs="Arial"/>
          <w:b/>
          <w:iCs/>
          <w:color w:val="000000"/>
          <w:kern w:val="0"/>
          <w:sz w:val="32"/>
        </w:rPr>
      </w:pPr>
      <w:r>
        <w:rPr>
          <w:rFonts w:hint="eastAsia" w:ascii="宋体" w:hAnsi="宋体" w:eastAsia="宋体" w:cs="Arial"/>
          <w:b/>
          <w:iCs/>
          <w:color w:val="000000"/>
          <w:kern w:val="0"/>
          <w:sz w:val="32"/>
          <w:lang w:eastAsia="zh-CN"/>
        </w:rPr>
        <w:t>双湖县</w:t>
      </w:r>
      <w:r>
        <w:rPr>
          <w:rFonts w:hint="eastAsia" w:ascii="宋体" w:hAnsi="宋体" w:eastAsia="宋体" w:cs="Arial"/>
          <w:b/>
          <w:iCs/>
          <w:color w:val="000000"/>
          <w:kern w:val="0"/>
          <w:sz w:val="32"/>
        </w:rPr>
        <w:t>法院2018年度部门预算数据分析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0" w:name="_Toc510892842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一、2018年度财政拨款收支预算情况总体说明。</w:t>
      </w:r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2018年财政收入为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4310145.7</w:t>
      </w:r>
      <w:r>
        <w:rPr>
          <w:rFonts w:hint="eastAsia" w:ascii="仿宋" w:hAnsi="仿宋" w:eastAsia="仿宋"/>
          <w:sz w:val="32"/>
          <w:szCs w:val="32"/>
        </w:rPr>
        <w:t xml:space="preserve">元。       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" w:name="_Toc510892843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二、2018年度一般公共预算当年财政拨款情况说明。</w:t>
      </w:r>
      <w:bookmarkEnd w:id="1"/>
    </w:p>
    <w:p>
      <w:pPr>
        <w:widowControl/>
        <w:ind w:firstLine="640" w:firstLineChars="200"/>
        <w:rPr>
          <w:rFonts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2018年总的财政拨款是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4310145.7</w:t>
      </w:r>
      <w:r>
        <w:rPr>
          <w:rFonts w:hint="eastAsia" w:ascii="仿宋" w:hAnsi="仿宋" w:eastAsia="仿宋"/>
          <w:sz w:val="32"/>
          <w:szCs w:val="32"/>
        </w:rPr>
        <w:t>元、其中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工资福利支出有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3134515.7</w:t>
      </w:r>
      <w:r>
        <w:rPr>
          <w:rFonts w:hint="eastAsia" w:ascii="仿宋" w:hAnsi="仿宋" w:eastAsia="仿宋"/>
          <w:sz w:val="32"/>
          <w:szCs w:val="32"/>
        </w:rPr>
        <w:t>元、商品服务支出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386230</w:t>
      </w:r>
      <w:r>
        <w:rPr>
          <w:rFonts w:hint="eastAsia" w:ascii="仿宋" w:hAnsi="仿宋" w:eastAsia="仿宋"/>
          <w:sz w:val="32"/>
          <w:szCs w:val="32"/>
        </w:rPr>
        <w:t>元。</w:t>
      </w:r>
      <w:r>
        <w:rPr>
          <w:rFonts w:hint="eastAsia" w:ascii="仿宋" w:hAnsi="仿宋" w:eastAsia="仿宋"/>
          <w:sz w:val="32"/>
          <w:szCs w:val="32"/>
          <w:lang w:eastAsia="zh-CN"/>
        </w:rPr>
        <w:t>行政事业性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项目支出为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>789400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" w:name="_Toc510892844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"/>
    </w:p>
    <w:p>
      <w:pPr>
        <w:spacing w:line="360" w:lineRule="auto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财政局商品和服务支出经费安排情况：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386230</w:t>
      </w:r>
      <w:r>
        <w:rPr>
          <w:rFonts w:hint="eastAsia" w:ascii="仿宋" w:hAnsi="仿宋" w:eastAsia="仿宋"/>
          <w:sz w:val="32"/>
          <w:szCs w:val="32"/>
        </w:rPr>
        <w:t>元、其中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办公费：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36000</w:t>
      </w:r>
      <w:r>
        <w:rPr>
          <w:rFonts w:hint="eastAsia" w:ascii="仿宋" w:hAnsi="仿宋" w:eastAsia="仿宋"/>
          <w:sz w:val="32"/>
          <w:szCs w:val="32"/>
        </w:rPr>
        <w:t>元、印刷费：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12000</w:t>
      </w:r>
      <w:r>
        <w:rPr>
          <w:rFonts w:hint="eastAsia" w:ascii="仿宋" w:hAnsi="仿宋" w:eastAsia="仿宋"/>
          <w:sz w:val="32"/>
          <w:szCs w:val="32"/>
        </w:rPr>
        <w:t>元、差旅费: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公务用车运行维护费：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126000元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会议费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5500元、培训费33000元、维修（护）费11000元、业务费48000元、其他商品和服务支出59730元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3" w:name="_Toc510892845"/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3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财政局2018年商品和服务</w:t>
      </w:r>
      <w:r>
        <w:rPr>
          <w:rFonts w:hint="eastAsia" w:ascii="仿宋" w:hAnsi="仿宋" w:eastAsia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386230</w:t>
      </w:r>
      <w:r>
        <w:rPr>
          <w:rFonts w:hint="eastAsia" w:ascii="仿宋" w:hAnsi="仿宋" w:eastAsia="仿宋"/>
          <w:sz w:val="32"/>
          <w:szCs w:val="32"/>
        </w:rPr>
        <w:t>元、其中：“三公”经费有：公务用车运行维护费为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5500元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55" w:lineRule="atLeast"/>
        <w:jc w:val="left"/>
        <w:rPr>
          <w:rFonts w:ascii="宋体" w:hAnsi="宋体" w:eastAsia="宋体" w:cs="Arial"/>
          <w:iCs/>
          <w:color w:val="000000"/>
          <w:kern w:val="0"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3"/>
        </w:numPr>
        <w:tabs>
          <w:tab w:val="left" w:pos="0"/>
          <w:tab w:val="clear" w:pos="1080"/>
        </w:tabs>
        <w:spacing w:line="560" w:lineRule="exact"/>
        <w:ind w:left="0"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9A0"/>
    <w:multiLevelType w:val="multilevel"/>
    <w:tmpl w:val="2EAB09A0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41548D"/>
    <w:multiLevelType w:val="multilevel"/>
    <w:tmpl w:val="6441548D"/>
    <w:lvl w:ilvl="0" w:tentative="0">
      <w:start w:val="1"/>
      <w:numFmt w:val="none"/>
      <w:lvlText w:val="一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A45"/>
    <w:rsid w:val="00062785"/>
    <w:rsid w:val="000D487A"/>
    <w:rsid w:val="0025615D"/>
    <w:rsid w:val="003C11E7"/>
    <w:rsid w:val="00457E07"/>
    <w:rsid w:val="00477038"/>
    <w:rsid w:val="006838F4"/>
    <w:rsid w:val="006E1967"/>
    <w:rsid w:val="007E477D"/>
    <w:rsid w:val="007E6C18"/>
    <w:rsid w:val="00843A45"/>
    <w:rsid w:val="008949CD"/>
    <w:rsid w:val="0092382B"/>
    <w:rsid w:val="00A45B99"/>
    <w:rsid w:val="00AC3086"/>
    <w:rsid w:val="00AE3F1D"/>
    <w:rsid w:val="00BA61CF"/>
    <w:rsid w:val="00C71067"/>
    <w:rsid w:val="00D6725E"/>
    <w:rsid w:val="00D947D6"/>
    <w:rsid w:val="00EA3444"/>
    <w:rsid w:val="00F163AA"/>
    <w:rsid w:val="00FF42D1"/>
    <w:rsid w:val="073C578C"/>
    <w:rsid w:val="1E446036"/>
    <w:rsid w:val="20391E8E"/>
    <w:rsid w:val="216616B2"/>
    <w:rsid w:val="36036FF0"/>
    <w:rsid w:val="38B44C0F"/>
    <w:rsid w:val="3AFE2FC1"/>
    <w:rsid w:val="47DE7A2C"/>
    <w:rsid w:val="56CB185E"/>
    <w:rsid w:val="639012DD"/>
    <w:rsid w:val="682419CC"/>
    <w:rsid w:val="722D3FDA"/>
    <w:rsid w:val="73E840F2"/>
    <w:rsid w:val="770322A1"/>
    <w:rsid w:val="7E4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399</Words>
  <Characters>2275</Characters>
  <Lines>18</Lines>
  <Paragraphs>5</Paragraphs>
  <ScaleCrop>false</ScaleCrop>
  <LinksUpToDate>false</LinksUpToDate>
  <CharactersWithSpaces>2669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2018-04-10T08:39:00Z</dcterms:created>
  <dc:creator>Administrator</dc:creator>
  <cp:lastModifiedBy>lenovo</cp:lastModifiedBy>
  <dcterms:modified xsi:type="dcterms:W3CDTF">2018-06-11T20:48:51Z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