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b/>
          <w:bCs/>
          <w:sz w:val="44"/>
          <w:szCs w:val="44"/>
        </w:rPr>
      </w:pPr>
    </w:p>
    <w:p>
      <w:pPr>
        <w:widowControl/>
        <w:jc w:val="center"/>
        <w:rPr>
          <w:rFonts w:asciiTheme="majorEastAsia" w:hAnsiTheme="majorEastAsia" w:eastAsiaTheme="majorEastAsia"/>
          <w:b/>
          <w:bCs/>
          <w:sz w:val="52"/>
          <w:szCs w:val="52"/>
        </w:rPr>
      </w:pPr>
    </w:p>
    <w:p>
      <w:pPr>
        <w:widowControl/>
        <w:jc w:val="center"/>
        <w:rPr>
          <w:rFonts w:asciiTheme="majorEastAsia" w:hAnsiTheme="majorEastAsia" w:eastAsiaTheme="majorEastAsia"/>
          <w:b/>
          <w:bCs/>
          <w:sz w:val="52"/>
          <w:szCs w:val="52"/>
        </w:rPr>
      </w:pPr>
      <w:r>
        <w:rPr>
          <w:rFonts w:hint="eastAsia" w:asciiTheme="majorEastAsia" w:hAnsiTheme="majorEastAsia" w:eastAsiaTheme="majorEastAsia"/>
          <w:b/>
          <w:bCs/>
          <w:sz w:val="52"/>
          <w:szCs w:val="52"/>
          <w:lang w:eastAsia="zh-CN"/>
        </w:rPr>
        <w:t>疾控中心</w:t>
      </w:r>
      <w:r>
        <w:rPr>
          <w:rFonts w:hint="eastAsia" w:asciiTheme="majorEastAsia" w:hAnsiTheme="majorEastAsia" w:eastAsiaTheme="majorEastAsia"/>
          <w:b/>
          <w:bCs/>
          <w:sz w:val="52"/>
          <w:szCs w:val="52"/>
        </w:rPr>
        <w:t>2018年度部门预算</w:t>
      </w:r>
    </w:p>
    <w:p>
      <w:pPr>
        <w:widowControl/>
        <w:jc w:val="center"/>
        <w:rPr>
          <w:rFonts w:asciiTheme="majorEastAsia" w:hAnsiTheme="majorEastAsia" w:eastAsiaTheme="majorEastAsia"/>
          <w:b/>
          <w:bCs/>
          <w:sz w:val="52"/>
          <w:szCs w:val="52"/>
        </w:rPr>
      </w:pPr>
    </w:p>
    <w:p>
      <w:pPr>
        <w:widowControl/>
        <w:jc w:val="center"/>
        <w:rPr>
          <w:rFonts w:asciiTheme="majorEastAsia" w:hAnsiTheme="majorEastAsia" w:eastAsiaTheme="majorEastAsia"/>
          <w:b/>
          <w:bCs/>
          <w:sz w:val="52"/>
          <w:szCs w:val="52"/>
        </w:rPr>
      </w:pPr>
    </w:p>
    <w:p>
      <w:pPr>
        <w:widowControl/>
        <w:jc w:val="center"/>
        <w:rPr>
          <w:rFonts w:asciiTheme="majorEastAsia" w:hAnsiTheme="majorEastAsia" w:eastAsiaTheme="majorEastAsia"/>
          <w:b/>
          <w:bCs/>
          <w:sz w:val="52"/>
          <w:szCs w:val="52"/>
        </w:rPr>
      </w:pPr>
    </w:p>
    <w:p>
      <w:pPr>
        <w:widowControl/>
        <w:jc w:val="center"/>
        <w:rPr>
          <w:rFonts w:asciiTheme="majorEastAsia" w:hAnsiTheme="majorEastAsia" w:eastAsiaTheme="majorEastAsia"/>
          <w:b/>
          <w:bCs/>
          <w:sz w:val="52"/>
          <w:szCs w:val="52"/>
        </w:rPr>
      </w:pPr>
    </w:p>
    <w:p>
      <w:pPr>
        <w:widowControl/>
        <w:jc w:val="center"/>
        <w:rPr>
          <w:rFonts w:asciiTheme="majorEastAsia" w:hAnsiTheme="majorEastAsia" w:eastAsiaTheme="majorEastAsia"/>
          <w:b/>
          <w:bCs/>
          <w:sz w:val="52"/>
          <w:szCs w:val="52"/>
        </w:rPr>
      </w:pPr>
    </w:p>
    <w:p>
      <w:pPr>
        <w:widowControl/>
        <w:jc w:val="center"/>
        <w:rPr>
          <w:rFonts w:asciiTheme="majorEastAsia" w:hAnsiTheme="majorEastAsia" w:eastAsiaTheme="majorEastAsia"/>
          <w:b/>
          <w:bCs/>
          <w:sz w:val="52"/>
          <w:szCs w:val="52"/>
        </w:rPr>
      </w:pPr>
    </w:p>
    <w:p>
      <w:pPr>
        <w:widowControl/>
        <w:jc w:val="center"/>
        <w:rPr>
          <w:rFonts w:asciiTheme="majorEastAsia" w:hAnsiTheme="majorEastAsia" w:eastAsiaTheme="majorEastAsia"/>
          <w:b/>
          <w:bCs/>
          <w:sz w:val="52"/>
          <w:szCs w:val="52"/>
        </w:rPr>
      </w:pPr>
    </w:p>
    <w:p>
      <w:pPr>
        <w:widowControl/>
        <w:jc w:val="center"/>
        <w:rPr>
          <w:rFonts w:asciiTheme="majorEastAsia" w:hAnsiTheme="majorEastAsia" w:eastAsiaTheme="majorEastAsia"/>
          <w:sz w:val="44"/>
          <w:szCs w:val="44"/>
        </w:rPr>
      </w:pPr>
    </w:p>
    <w:p>
      <w:pPr>
        <w:widowControl/>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2018年</w:t>
      </w:r>
      <w:r>
        <w:rPr>
          <w:rFonts w:hint="eastAsia" w:asciiTheme="majorEastAsia" w:hAnsiTheme="majorEastAsia" w:eastAsiaTheme="majorEastAsia"/>
          <w:sz w:val="44"/>
          <w:szCs w:val="44"/>
          <w:lang w:val="en-US" w:eastAsia="zh-CN"/>
        </w:rPr>
        <w:t>6</w:t>
      </w:r>
      <w:r>
        <w:rPr>
          <w:rFonts w:hint="eastAsia" w:asciiTheme="majorEastAsia" w:hAnsiTheme="majorEastAsia" w:eastAsiaTheme="majorEastAsia"/>
          <w:sz w:val="44"/>
          <w:szCs w:val="44"/>
        </w:rPr>
        <w:t>月1日</w:t>
      </w:r>
    </w:p>
    <w:p>
      <w:pPr>
        <w:widowControl/>
        <w:jc w:val="center"/>
        <w:rPr>
          <w:rFonts w:asciiTheme="majorEastAsia" w:hAnsiTheme="majorEastAsia" w:eastAsiaTheme="majorEastAsia"/>
          <w:b/>
          <w:bCs/>
          <w:sz w:val="52"/>
          <w:szCs w:val="52"/>
        </w:rPr>
      </w:pPr>
    </w:p>
    <w:p>
      <w:pPr>
        <w:spacing w:line="480" w:lineRule="auto"/>
        <w:jc w:val="center"/>
        <w:rPr>
          <w:b/>
          <w:bCs/>
          <w:sz w:val="44"/>
          <w:szCs w:val="44"/>
        </w:rPr>
      </w:pPr>
    </w:p>
    <w:p>
      <w:pPr>
        <w:spacing w:line="480" w:lineRule="auto"/>
        <w:jc w:val="center"/>
        <w:rPr>
          <w:b/>
          <w:bCs/>
          <w:sz w:val="44"/>
          <w:szCs w:val="44"/>
        </w:rPr>
      </w:pPr>
    </w:p>
    <w:p>
      <w:pPr>
        <w:spacing w:line="480" w:lineRule="auto"/>
        <w:jc w:val="center"/>
        <w:rPr>
          <w:b/>
          <w:bCs/>
          <w:sz w:val="44"/>
          <w:szCs w:val="44"/>
        </w:rPr>
      </w:pPr>
    </w:p>
    <w:p>
      <w:pPr>
        <w:spacing w:line="480" w:lineRule="auto"/>
        <w:jc w:val="center"/>
        <w:rPr>
          <w:b/>
          <w:bCs/>
          <w:sz w:val="44"/>
          <w:szCs w:val="44"/>
        </w:rPr>
      </w:pPr>
    </w:p>
    <w:p>
      <w:pPr>
        <w:spacing w:line="480" w:lineRule="auto"/>
        <w:ind w:firstLine="3755" w:firstLineChars="850"/>
        <w:rPr>
          <w:b/>
          <w:bCs/>
          <w:sz w:val="44"/>
          <w:szCs w:val="44"/>
        </w:rPr>
      </w:pPr>
      <w:r>
        <w:rPr>
          <w:rFonts w:hint="eastAsia"/>
          <w:b/>
          <w:bCs/>
          <w:sz w:val="44"/>
          <w:szCs w:val="44"/>
        </w:rPr>
        <w:t>目录</w:t>
      </w:r>
    </w:p>
    <w:p>
      <w:pPr>
        <w:spacing w:line="480" w:lineRule="auto"/>
      </w:pPr>
    </w:p>
    <w:p>
      <w:pPr>
        <w:spacing w:line="480" w:lineRule="auto"/>
        <w:rPr>
          <w:b/>
          <w:bCs/>
          <w:sz w:val="36"/>
          <w:szCs w:val="36"/>
        </w:rPr>
      </w:pPr>
      <w:r>
        <w:rPr>
          <w:rFonts w:hint="eastAsia"/>
          <w:b/>
          <w:bCs/>
          <w:sz w:val="36"/>
          <w:szCs w:val="36"/>
        </w:rPr>
        <w:t xml:space="preserve">第一部分  </w:t>
      </w:r>
      <w:r>
        <w:rPr>
          <w:rFonts w:hint="eastAsia"/>
          <w:b/>
          <w:bCs/>
          <w:sz w:val="36"/>
          <w:szCs w:val="36"/>
          <w:lang w:eastAsia="zh-CN"/>
        </w:rPr>
        <w:t>双湖县疾控中心</w:t>
      </w:r>
      <w:r>
        <w:rPr>
          <w:rFonts w:hint="eastAsia"/>
          <w:b/>
          <w:bCs/>
          <w:sz w:val="36"/>
          <w:szCs w:val="36"/>
        </w:rPr>
        <w:t>概况</w:t>
      </w:r>
    </w:p>
    <w:p>
      <w:pPr>
        <w:spacing w:line="480" w:lineRule="auto"/>
        <w:rPr>
          <w:rFonts w:hint="eastAsia" w:ascii="仿宋" w:hAnsi="仿宋" w:eastAsia="仿宋" w:cs="仿宋"/>
          <w:sz w:val="32"/>
        </w:rPr>
      </w:pPr>
      <w:r>
        <w:rPr>
          <w:rFonts w:hint="eastAsia" w:ascii="仿宋" w:hAnsi="仿宋" w:eastAsia="仿宋" w:cs="仿宋"/>
          <w:sz w:val="32"/>
        </w:rPr>
        <w:t>一、部门预算单位结构</w:t>
      </w:r>
    </w:p>
    <w:p>
      <w:pPr>
        <w:spacing w:line="480" w:lineRule="auto"/>
        <w:rPr>
          <w:rFonts w:hint="eastAsia" w:ascii="仿宋" w:hAnsi="仿宋" w:eastAsia="仿宋" w:cs="仿宋"/>
          <w:sz w:val="32"/>
        </w:rPr>
      </w:pPr>
      <w:r>
        <w:rPr>
          <w:rFonts w:hint="eastAsia" w:ascii="仿宋" w:hAnsi="仿宋" w:eastAsia="仿宋" w:cs="仿宋"/>
          <w:sz w:val="32"/>
        </w:rPr>
        <w:t>二、部门职责和机构设置</w:t>
      </w:r>
    </w:p>
    <w:p>
      <w:pPr>
        <w:spacing w:line="480" w:lineRule="auto"/>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 xml:space="preserve">第二部分  </w:t>
      </w:r>
      <w:r>
        <w:rPr>
          <w:rFonts w:hint="eastAsia" w:asciiTheme="majorEastAsia" w:hAnsiTheme="majorEastAsia" w:eastAsiaTheme="majorEastAsia"/>
          <w:b/>
          <w:bCs/>
          <w:sz w:val="36"/>
          <w:szCs w:val="36"/>
          <w:lang w:eastAsia="zh-CN"/>
        </w:rPr>
        <w:t>双湖县疾控中心</w:t>
      </w:r>
      <w:r>
        <w:rPr>
          <w:rFonts w:hint="eastAsia" w:asciiTheme="majorEastAsia" w:hAnsiTheme="majorEastAsia" w:eastAsiaTheme="majorEastAsia"/>
          <w:b/>
          <w:bCs/>
          <w:sz w:val="36"/>
          <w:szCs w:val="36"/>
        </w:rPr>
        <w:t>2018年度部门预算明细表</w:t>
      </w:r>
    </w:p>
    <w:p>
      <w:pPr>
        <w:spacing w:line="480" w:lineRule="auto"/>
        <w:rPr>
          <w:rFonts w:hint="eastAsia" w:ascii="仿宋" w:hAnsi="仿宋" w:eastAsia="仿宋" w:cs="仿宋"/>
          <w:sz w:val="32"/>
        </w:rPr>
      </w:pPr>
      <w:r>
        <w:rPr>
          <w:rFonts w:hint="eastAsia" w:ascii="仿宋" w:hAnsi="仿宋" w:eastAsia="仿宋" w:cs="仿宋"/>
          <w:sz w:val="32"/>
        </w:rPr>
        <w:t>一、财政拨款收支总表</w:t>
      </w:r>
    </w:p>
    <w:p>
      <w:pPr>
        <w:spacing w:line="480" w:lineRule="auto"/>
        <w:rPr>
          <w:rFonts w:hint="eastAsia" w:ascii="仿宋" w:hAnsi="仿宋" w:eastAsia="仿宋" w:cs="仿宋"/>
          <w:sz w:val="32"/>
        </w:rPr>
      </w:pPr>
      <w:r>
        <w:rPr>
          <w:rFonts w:hint="eastAsia" w:ascii="仿宋" w:hAnsi="仿宋" w:eastAsia="仿宋" w:cs="仿宋"/>
          <w:sz w:val="32"/>
        </w:rPr>
        <w:t>二、一般公共预算支出表</w:t>
      </w:r>
    </w:p>
    <w:p>
      <w:pPr>
        <w:spacing w:line="480" w:lineRule="auto"/>
        <w:rPr>
          <w:rFonts w:hint="eastAsia" w:ascii="仿宋" w:hAnsi="仿宋" w:eastAsia="仿宋" w:cs="仿宋"/>
          <w:sz w:val="32"/>
        </w:rPr>
      </w:pPr>
      <w:r>
        <w:rPr>
          <w:rFonts w:hint="eastAsia" w:ascii="仿宋" w:hAnsi="仿宋" w:eastAsia="仿宋" w:cs="仿宋"/>
          <w:sz w:val="32"/>
        </w:rPr>
        <w:t>三、一般公共预算基本支出表</w:t>
      </w:r>
    </w:p>
    <w:p>
      <w:pPr>
        <w:spacing w:line="480" w:lineRule="auto"/>
        <w:rPr>
          <w:rFonts w:hint="eastAsia" w:ascii="仿宋" w:hAnsi="仿宋" w:eastAsia="仿宋" w:cs="仿宋"/>
          <w:sz w:val="32"/>
        </w:rPr>
      </w:pPr>
      <w:r>
        <w:rPr>
          <w:rFonts w:hint="eastAsia" w:ascii="仿宋" w:hAnsi="仿宋" w:eastAsia="仿宋" w:cs="仿宋"/>
          <w:sz w:val="32"/>
        </w:rPr>
        <w:t>四、一般公共预算“三公”经费支出表</w:t>
      </w:r>
    </w:p>
    <w:p>
      <w:pPr>
        <w:spacing w:line="480" w:lineRule="auto"/>
        <w:rPr>
          <w:rFonts w:hint="eastAsia" w:ascii="仿宋" w:hAnsi="仿宋" w:eastAsia="仿宋" w:cs="仿宋"/>
          <w:sz w:val="32"/>
        </w:rPr>
      </w:pPr>
      <w:r>
        <w:rPr>
          <w:rFonts w:hint="eastAsia" w:ascii="仿宋" w:hAnsi="仿宋" w:eastAsia="仿宋" w:cs="仿宋"/>
          <w:sz w:val="32"/>
        </w:rPr>
        <w:t>五、政府性基金预算支出表</w:t>
      </w:r>
    </w:p>
    <w:p>
      <w:pPr>
        <w:spacing w:line="480" w:lineRule="auto"/>
        <w:rPr>
          <w:rFonts w:hint="eastAsia" w:ascii="仿宋" w:hAnsi="仿宋" w:eastAsia="仿宋" w:cs="仿宋"/>
          <w:sz w:val="32"/>
        </w:rPr>
      </w:pPr>
      <w:r>
        <w:rPr>
          <w:rFonts w:hint="eastAsia" w:ascii="仿宋" w:hAnsi="仿宋" w:eastAsia="仿宋" w:cs="仿宋"/>
          <w:sz w:val="32"/>
        </w:rPr>
        <w:t>六、部门收支总表</w:t>
      </w:r>
    </w:p>
    <w:p>
      <w:pPr>
        <w:spacing w:line="480" w:lineRule="auto"/>
        <w:rPr>
          <w:rFonts w:hint="eastAsia" w:ascii="仿宋" w:hAnsi="仿宋" w:eastAsia="仿宋" w:cs="仿宋"/>
          <w:sz w:val="32"/>
        </w:rPr>
      </w:pPr>
      <w:r>
        <w:rPr>
          <w:rFonts w:hint="eastAsia" w:ascii="仿宋" w:hAnsi="仿宋" w:eastAsia="仿宋" w:cs="仿宋"/>
          <w:sz w:val="32"/>
        </w:rPr>
        <w:t>七、部门收入总表</w:t>
      </w:r>
    </w:p>
    <w:p>
      <w:pPr>
        <w:spacing w:line="480" w:lineRule="auto"/>
        <w:rPr>
          <w:rFonts w:hint="eastAsia" w:ascii="仿宋" w:hAnsi="仿宋" w:eastAsia="仿宋" w:cs="仿宋"/>
          <w:sz w:val="32"/>
        </w:rPr>
      </w:pPr>
      <w:r>
        <w:rPr>
          <w:rFonts w:hint="eastAsia" w:ascii="仿宋" w:hAnsi="仿宋" w:eastAsia="仿宋" w:cs="仿宋"/>
          <w:sz w:val="32"/>
        </w:rPr>
        <w:t>八、部门支出总表</w:t>
      </w:r>
    </w:p>
    <w:p>
      <w:pPr>
        <w:spacing w:line="480" w:lineRule="auto"/>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 xml:space="preserve">第三部分  </w:t>
      </w:r>
      <w:r>
        <w:rPr>
          <w:rFonts w:hint="eastAsia" w:asciiTheme="majorEastAsia" w:hAnsiTheme="majorEastAsia" w:eastAsiaTheme="majorEastAsia"/>
          <w:b/>
          <w:bCs/>
          <w:sz w:val="36"/>
          <w:szCs w:val="36"/>
          <w:lang w:eastAsia="zh-CN"/>
        </w:rPr>
        <w:t>双湖县疾控中心</w:t>
      </w:r>
      <w:r>
        <w:rPr>
          <w:rFonts w:hint="eastAsia" w:asciiTheme="majorEastAsia" w:hAnsiTheme="majorEastAsia" w:eastAsiaTheme="majorEastAsia"/>
          <w:b/>
          <w:bCs/>
          <w:sz w:val="36"/>
          <w:szCs w:val="36"/>
        </w:rPr>
        <w:t>2018年度部门预算数据分析</w:t>
      </w:r>
    </w:p>
    <w:p>
      <w:pPr>
        <w:spacing w:line="480" w:lineRule="auto"/>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第四部分  名词解释</w:t>
      </w:r>
    </w:p>
    <w:p>
      <w:pPr>
        <w:spacing w:line="360" w:lineRule="auto"/>
        <w:rPr>
          <w:rFonts w:asciiTheme="majorEastAsia" w:hAnsiTheme="majorEastAsia" w:eastAsiaTheme="majorEastAsia"/>
          <w:b/>
          <w:bCs/>
          <w:sz w:val="30"/>
          <w:szCs w:val="30"/>
        </w:rPr>
      </w:pPr>
    </w:p>
    <w:p>
      <w:pPr>
        <w:spacing w:line="360" w:lineRule="auto"/>
        <w:rPr>
          <w:rFonts w:asciiTheme="majorEastAsia" w:hAnsiTheme="majorEastAsia" w:eastAsiaTheme="majorEastAsia"/>
          <w:b/>
          <w:bCs/>
          <w:sz w:val="30"/>
          <w:szCs w:val="30"/>
        </w:rPr>
      </w:pPr>
    </w:p>
    <w:p>
      <w:pPr>
        <w:spacing w:line="360" w:lineRule="auto"/>
        <w:rPr>
          <w:rFonts w:asciiTheme="majorEastAsia" w:hAnsiTheme="majorEastAsia" w:eastAsiaTheme="majorEastAsia"/>
          <w:b/>
          <w:bCs/>
          <w:sz w:val="30"/>
          <w:szCs w:val="30"/>
        </w:rPr>
      </w:pPr>
    </w:p>
    <w:p>
      <w:pPr>
        <w:spacing w:line="360" w:lineRule="auto"/>
        <w:rPr>
          <w:rFonts w:asciiTheme="majorEastAsia" w:hAnsiTheme="majorEastAsia" w:eastAsiaTheme="majorEastAsia"/>
          <w:b/>
          <w:bCs/>
          <w:sz w:val="30"/>
          <w:szCs w:val="30"/>
        </w:rPr>
      </w:pPr>
    </w:p>
    <w:p>
      <w:pPr>
        <w:spacing w:line="360" w:lineRule="auto"/>
        <w:rPr>
          <w:rFonts w:asciiTheme="majorEastAsia" w:hAnsiTheme="majorEastAsia" w:eastAsiaTheme="majorEastAsia"/>
          <w:b/>
          <w:bCs/>
          <w:sz w:val="30"/>
          <w:szCs w:val="30"/>
        </w:rPr>
      </w:pPr>
    </w:p>
    <w:p>
      <w:pPr>
        <w:spacing w:line="360" w:lineRule="auto"/>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第一部分</w:t>
      </w:r>
    </w:p>
    <w:p>
      <w:pPr>
        <w:spacing w:line="360" w:lineRule="auto"/>
        <w:jc w:val="center"/>
        <w:rPr>
          <w:rFonts w:asciiTheme="majorEastAsia" w:hAnsiTheme="majorEastAsia" w:eastAsiaTheme="majorEastAsia"/>
          <w:sz w:val="44"/>
          <w:szCs w:val="44"/>
        </w:rPr>
      </w:pPr>
      <w:r>
        <w:rPr>
          <w:rFonts w:hint="eastAsia" w:asciiTheme="majorEastAsia" w:hAnsiTheme="majorEastAsia" w:eastAsiaTheme="majorEastAsia"/>
          <w:b/>
          <w:bCs/>
          <w:sz w:val="44"/>
          <w:szCs w:val="44"/>
          <w:lang w:eastAsia="zh-CN"/>
        </w:rPr>
        <w:t>双湖县疾控中心</w:t>
      </w:r>
      <w:r>
        <w:rPr>
          <w:rFonts w:hint="eastAsia" w:asciiTheme="majorEastAsia" w:hAnsiTheme="majorEastAsia" w:eastAsiaTheme="majorEastAsia"/>
          <w:b/>
          <w:bCs/>
          <w:sz w:val="44"/>
          <w:szCs w:val="44"/>
        </w:rPr>
        <w:t>概况</w:t>
      </w:r>
    </w:p>
    <w:p>
      <w:pPr>
        <w:spacing w:line="480" w:lineRule="auto"/>
        <w:rPr>
          <w:rFonts w:hint="eastAsia" w:ascii="仿宋" w:hAnsi="仿宋" w:eastAsia="仿宋" w:cs="仿宋"/>
          <w:sz w:val="32"/>
        </w:rPr>
      </w:pPr>
      <w:r>
        <w:rPr>
          <w:rFonts w:hint="eastAsia" w:ascii="仿宋" w:hAnsi="仿宋" w:eastAsia="仿宋" w:cs="仿宋"/>
          <w:sz w:val="32"/>
        </w:rPr>
        <w:t>一、部门预算单位构成</w:t>
      </w:r>
    </w:p>
    <w:p>
      <w:pPr>
        <w:spacing w:line="480" w:lineRule="auto"/>
        <w:rPr>
          <w:rFonts w:hint="eastAsia" w:ascii="仿宋" w:hAnsi="仿宋" w:eastAsia="仿宋" w:cs="仿宋"/>
          <w:sz w:val="32"/>
        </w:rPr>
      </w:pPr>
      <w:r>
        <w:rPr>
          <w:rFonts w:hint="eastAsia" w:ascii="仿宋" w:hAnsi="仿宋" w:eastAsia="仿宋" w:cs="仿宋"/>
          <w:sz w:val="32"/>
        </w:rPr>
        <w:t xml:space="preserve">    </w:t>
      </w:r>
      <w:r>
        <w:rPr>
          <w:rFonts w:hint="eastAsia" w:ascii="仿宋" w:hAnsi="仿宋" w:eastAsia="仿宋" w:cs="仿宋"/>
          <w:sz w:val="32"/>
          <w:lang w:eastAsia="zh-CN"/>
        </w:rPr>
        <w:t>疾控中心为</w:t>
      </w:r>
      <w:r>
        <w:rPr>
          <w:rFonts w:hint="eastAsia" w:ascii="仿宋" w:hAnsi="仿宋" w:eastAsia="仿宋" w:cs="仿宋"/>
          <w:sz w:val="32"/>
          <w:lang w:val="en-US" w:eastAsia="zh-CN"/>
        </w:rPr>
        <w:t>1级预算</w:t>
      </w:r>
      <w:r>
        <w:rPr>
          <w:rFonts w:hint="eastAsia" w:ascii="仿宋" w:hAnsi="仿宋" w:eastAsia="仿宋" w:cs="仿宋"/>
          <w:sz w:val="32"/>
        </w:rPr>
        <w:t>部门构成。</w:t>
      </w:r>
    </w:p>
    <w:p>
      <w:pPr>
        <w:spacing w:line="480" w:lineRule="auto"/>
        <w:rPr>
          <w:rFonts w:hint="eastAsia" w:ascii="仿宋" w:hAnsi="仿宋" w:eastAsia="仿宋" w:cs="仿宋"/>
          <w:sz w:val="32"/>
        </w:rPr>
      </w:pPr>
      <w:r>
        <w:rPr>
          <w:rFonts w:hint="eastAsia" w:ascii="仿宋" w:hAnsi="仿宋" w:eastAsia="仿宋" w:cs="仿宋"/>
          <w:sz w:val="32"/>
        </w:rPr>
        <w:t>二、部门职责和机构设置</w:t>
      </w:r>
    </w:p>
    <w:p>
      <w:pPr>
        <w:spacing w:line="480" w:lineRule="auto"/>
        <w:rPr>
          <w:rFonts w:hint="eastAsia" w:ascii="仿宋" w:hAnsi="仿宋" w:eastAsia="仿宋" w:cs="仿宋"/>
          <w:sz w:val="32"/>
        </w:rPr>
      </w:pPr>
      <w:r>
        <w:rPr>
          <w:rFonts w:hint="eastAsia" w:ascii="仿宋" w:hAnsi="仿宋" w:eastAsia="仿宋" w:cs="仿宋"/>
          <w:sz w:val="32"/>
        </w:rPr>
        <w:t>（一）部门职责</w:t>
      </w:r>
    </w:p>
    <w:p>
      <w:pPr>
        <w:spacing w:line="480" w:lineRule="auto"/>
        <w:rPr>
          <w:rFonts w:hint="eastAsia" w:ascii="仿宋" w:hAnsi="仿宋" w:eastAsia="仿宋" w:cs="仿宋"/>
          <w:sz w:val="32"/>
        </w:rPr>
      </w:pPr>
      <w:r>
        <w:rPr>
          <w:rFonts w:hint="eastAsia" w:ascii="仿宋" w:hAnsi="仿宋" w:eastAsia="仿宋" w:cs="仿宋"/>
          <w:sz w:val="32"/>
          <w:lang w:val="en-US" w:eastAsia="zh-CN"/>
        </w:rPr>
        <w:t>1</w:t>
      </w:r>
      <w:r>
        <w:rPr>
          <w:rFonts w:hint="eastAsia" w:ascii="仿宋" w:hAnsi="仿宋" w:eastAsia="仿宋" w:cs="仿宋"/>
          <w:sz w:val="32"/>
        </w:rPr>
        <w:t>、负责疾病预防控制工作，协调有关部门对重大疾病实施防控与干预，组织实施免疫规划工作。制定卫生应急和紧急医学救援预案、突发公共卫生事件监测和风险评估计划，组织和指导突发公共卫生事件预防控制和各类突发公共事件的医疗卫生救援，发布法定报告传染病疫情信息、突发公共卫生事件应急处置信息。</w:t>
      </w:r>
    </w:p>
    <w:p>
      <w:pPr>
        <w:spacing w:line="480" w:lineRule="auto"/>
        <w:rPr>
          <w:rFonts w:hint="eastAsia" w:ascii="仿宋" w:hAnsi="仿宋" w:eastAsia="仿宋" w:cs="仿宋"/>
          <w:sz w:val="32"/>
        </w:rPr>
      </w:pPr>
      <w:r>
        <w:rPr>
          <w:rFonts w:hint="eastAsia" w:ascii="仿宋" w:hAnsi="仿宋" w:eastAsia="仿宋" w:cs="仿宋"/>
          <w:sz w:val="32"/>
        </w:rPr>
        <w:t>3、负责公共卫生综合协调、标准制定及监督检查工作；负责组织开展职责范围内的职业卫生、放射卫生、环境卫生、学校卫生、公共场所卫生、饮用水卫生等相关监测、调查、评估和监督，负责传染病防治监督。负责组织开展食品安全风险监测、评估；负责依法公布、执行食品安全地方标准；参与制定食品安全检验机构资质认定的条件和检验规范。</w:t>
      </w:r>
    </w:p>
    <w:p>
      <w:pPr>
        <w:spacing w:line="480" w:lineRule="auto"/>
        <w:rPr>
          <w:rFonts w:hint="eastAsia" w:ascii="仿宋" w:hAnsi="仿宋" w:eastAsia="仿宋" w:cs="仿宋"/>
          <w:sz w:val="32"/>
        </w:rPr>
      </w:pPr>
      <w:r>
        <w:rPr>
          <w:rFonts w:hint="eastAsia" w:ascii="仿宋" w:hAnsi="仿宋" w:eastAsia="仿宋" w:cs="仿宋"/>
          <w:sz w:val="32"/>
        </w:rPr>
        <w:t>（二）部门机构设置</w:t>
      </w:r>
    </w:p>
    <w:p>
      <w:pPr>
        <w:spacing w:line="480" w:lineRule="auto"/>
        <w:rPr>
          <w:rFonts w:hint="eastAsia" w:ascii="仿宋" w:hAnsi="仿宋" w:eastAsia="仿宋" w:cs="仿宋"/>
          <w:sz w:val="32"/>
        </w:rPr>
      </w:pPr>
      <w:r>
        <w:rPr>
          <w:rFonts w:hint="eastAsia" w:ascii="仿宋" w:hAnsi="仿宋" w:eastAsia="仿宋" w:cs="仿宋"/>
          <w:sz w:val="32"/>
        </w:rPr>
        <w:t xml:space="preserve">     </w:t>
      </w:r>
      <w:r>
        <w:rPr>
          <w:rFonts w:hint="eastAsia" w:ascii="仿宋" w:hAnsi="仿宋" w:eastAsia="仿宋" w:cs="仿宋"/>
          <w:sz w:val="32"/>
          <w:lang w:eastAsia="zh-CN"/>
        </w:rPr>
        <w:t>疾控中心无下设单位。</w:t>
      </w:r>
    </w:p>
    <w:p>
      <w:pPr>
        <w:spacing w:line="360" w:lineRule="auto"/>
        <w:rPr>
          <w:rFonts w:asciiTheme="majorEastAsia" w:hAnsiTheme="majorEastAsia" w:eastAsiaTheme="majorEastAsia"/>
          <w:b/>
          <w:bCs/>
          <w:sz w:val="32"/>
        </w:rPr>
      </w:pPr>
    </w:p>
    <w:p>
      <w:pPr>
        <w:spacing w:line="480" w:lineRule="auto"/>
        <w:jc w:val="center"/>
        <w:rPr>
          <w:rFonts w:asciiTheme="majorEastAsia" w:hAnsiTheme="majorEastAsia" w:eastAsiaTheme="majorEastAsia"/>
          <w:b/>
          <w:bCs/>
          <w:sz w:val="44"/>
          <w:szCs w:val="44"/>
        </w:rPr>
      </w:pPr>
      <w:bookmarkStart w:id="0" w:name="_Toc510892744"/>
      <w:r>
        <w:rPr>
          <w:rFonts w:hint="eastAsia" w:asciiTheme="majorEastAsia" w:hAnsiTheme="majorEastAsia" w:eastAsiaTheme="majorEastAsia"/>
          <w:b/>
          <w:bCs/>
          <w:sz w:val="44"/>
          <w:szCs w:val="44"/>
        </w:rPr>
        <w:t>第二部分</w:t>
      </w:r>
    </w:p>
    <w:p>
      <w:pPr>
        <w:spacing w:line="480" w:lineRule="auto"/>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lang w:eastAsia="zh-CN"/>
        </w:rPr>
        <w:t>双湖县疾控中心</w:t>
      </w:r>
      <w:r>
        <w:rPr>
          <w:rFonts w:hint="eastAsia" w:asciiTheme="majorEastAsia" w:hAnsiTheme="majorEastAsia" w:eastAsiaTheme="majorEastAsia"/>
          <w:b/>
          <w:bCs/>
          <w:sz w:val="44"/>
          <w:szCs w:val="44"/>
        </w:rPr>
        <w:t>2018年度部门预算明细表</w:t>
      </w:r>
    </w:p>
    <w:p>
      <w:pPr>
        <w:spacing w:line="480" w:lineRule="auto"/>
        <w:jc w:val="center"/>
        <w:rPr>
          <w:rFonts w:asciiTheme="majorEastAsia" w:hAnsiTheme="majorEastAsia" w:eastAsiaTheme="majorEastAsia"/>
          <w:b/>
          <w:bCs/>
          <w:sz w:val="32"/>
        </w:rPr>
      </w:pPr>
      <w:r>
        <w:rPr>
          <w:rFonts w:hint="eastAsia" w:asciiTheme="majorEastAsia" w:hAnsiTheme="majorEastAsia" w:eastAsiaTheme="majorEastAsia"/>
          <w:sz w:val="32"/>
        </w:rPr>
        <w:t>（表格详情见附件）</w:t>
      </w:r>
    </w:p>
    <w:p>
      <w:pPr>
        <w:spacing w:line="480" w:lineRule="auto"/>
        <w:rPr>
          <w:rFonts w:hint="eastAsia" w:ascii="仿宋" w:hAnsi="仿宋" w:eastAsia="仿宋" w:cs="仿宋"/>
          <w:sz w:val="32"/>
        </w:rPr>
      </w:pPr>
      <w:r>
        <w:rPr>
          <w:rFonts w:hint="eastAsia" w:ascii="仿宋" w:hAnsi="仿宋" w:eastAsia="仿宋" w:cs="仿宋"/>
          <w:sz w:val="32"/>
        </w:rPr>
        <w:t>一、财政拨款收支总表</w:t>
      </w:r>
    </w:p>
    <w:p>
      <w:pPr>
        <w:spacing w:line="480" w:lineRule="auto"/>
        <w:rPr>
          <w:rFonts w:hint="eastAsia" w:ascii="仿宋" w:hAnsi="仿宋" w:eastAsia="仿宋" w:cs="仿宋"/>
          <w:sz w:val="32"/>
        </w:rPr>
      </w:pPr>
      <w:r>
        <w:rPr>
          <w:rFonts w:hint="eastAsia" w:ascii="仿宋" w:hAnsi="仿宋" w:eastAsia="仿宋" w:cs="仿宋"/>
          <w:sz w:val="32"/>
        </w:rPr>
        <w:t>二、一般公共预算支出表</w:t>
      </w:r>
    </w:p>
    <w:p>
      <w:pPr>
        <w:spacing w:line="480" w:lineRule="auto"/>
        <w:rPr>
          <w:rFonts w:hint="eastAsia" w:ascii="仿宋" w:hAnsi="仿宋" w:eastAsia="仿宋" w:cs="仿宋"/>
          <w:sz w:val="32"/>
        </w:rPr>
      </w:pPr>
      <w:r>
        <w:rPr>
          <w:rFonts w:hint="eastAsia" w:ascii="仿宋" w:hAnsi="仿宋" w:eastAsia="仿宋" w:cs="仿宋"/>
          <w:sz w:val="32"/>
        </w:rPr>
        <w:t>三、一般公共预算基本支出表</w:t>
      </w:r>
    </w:p>
    <w:p>
      <w:pPr>
        <w:spacing w:line="480" w:lineRule="auto"/>
        <w:rPr>
          <w:rFonts w:hint="eastAsia" w:ascii="仿宋" w:hAnsi="仿宋" w:eastAsia="仿宋" w:cs="仿宋"/>
          <w:sz w:val="32"/>
        </w:rPr>
      </w:pPr>
      <w:r>
        <w:rPr>
          <w:rFonts w:hint="eastAsia" w:ascii="仿宋" w:hAnsi="仿宋" w:eastAsia="仿宋" w:cs="仿宋"/>
          <w:sz w:val="32"/>
        </w:rPr>
        <w:t>四、一般公共预算“三公”经费支出表</w:t>
      </w:r>
    </w:p>
    <w:p>
      <w:pPr>
        <w:spacing w:line="480" w:lineRule="auto"/>
        <w:rPr>
          <w:rFonts w:hint="eastAsia" w:ascii="仿宋" w:hAnsi="仿宋" w:eastAsia="仿宋" w:cs="仿宋"/>
          <w:sz w:val="32"/>
        </w:rPr>
      </w:pPr>
      <w:r>
        <w:rPr>
          <w:rFonts w:hint="eastAsia" w:ascii="仿宋" w:hAnsi="仿宋" w:eastAsia="仿宋" w:cs="仿宋"/>
          <w:sz w:val="32"/>
        </w:rPr>
        <w:t>五、政府性基金预算支出表</w:t>
      </w:r>
    </w:p>
    <w:p>
      <w:pPr>
        <w:spacing w:line="480" w:lineRule="auto"/>
        <w:rPr>
          <w:rFonts w:hint="eastAsia" w:ascii="仿宋" w:hAnsi="仿宋" w:eastAsia="仿宋" w:cs="仿宋"/>
          <w:sz w:val="32"/>
        </w:rPr>
      </w:pPr>
      <w:r>
        <w:rPr>
          <w:rFonts w:hint="eastAsia" w:ascii="仿宋" w:hAnsi="仿宋" w:eastAsia="仿宋" w:cs="仿宋"/>
          <w:sz w:val="32"/>
        </w:rPr>
        <w:t>六、部门收支总表</w:t>
      </w:r>
    </w:p>
    <w:p>
      <w:pPr>
        <w:spacing w:line="480" w:lineRule="auto"/>
        <w:rPr>
          <w:rFonts w:hint="eastAsia" w:ascii="仿宋" w:hAnsi="仿宋" w:eastAsia="仿宋" w:cs="仿宋"/>
          <w:sz w:val="32"/>
        </w:rPr>
      </w:pPr>
      <w:r>
        <w:rPr>
          <w:rFonts w:hint="eastAsia" w:ascii="仿宋" w:hAnsi="仿宋" w:eastAsia="仿宋" w:cs="仿宋"/>
          <w:sz w:val="32"/>
        </w:rPr>
        <w:t>七、部门收入总表</w:t>
      </w:r>
    </w:p>
    <w:p>
      <w:pPr>
        <w:spacing w:line="480" w:lineRule="auto"/>
        <w:rPr>
          <w:rFonts w:hint="eastAsia" w:ascii="仿宋" w:hAnsi="仿宋" w:eastAsia="仿宋" w:cs="仿宋"/>
          <w:sz w:val="32"/>
        </w:rPr>
      </w:pPr>
      <w:r>
        <w:rPr>
          <w:rFonts w:hint="eastAsia" w:ascii="仿宋" w:hAnsi="仿宋" w:eastAsia="仿宋" w:cs="仿宋"/>
          <w:sz w:val="32"/>
        </w:rPr>
        <w:t>八、部门支出总表</w:t>
      </w:r>
    </w:p>
    <w:bookmarkEnd w:id="0"/>
    <w:p>
      <w:pPr>
        <w:spacing w:line="360" w:lineRule="auto"/>
        <w:jc w:val="center"/>
        <w:rPr>
          <w:rFonts w:hint="eastAsia" w:ascii="仿宋" w:hAnsi="仿宋" w:eastAsia="仿宋" w:cs="仿宋"/>
          <w:b/>
          <w:bCs/>
          <w:sz w:val="32"/>
        </w:rPr>
      </w:pPr>
    </w:p>
    <w:p>
      <w:pPr>
        <w:spacing w:line="360" w:lineRule="auto"/>
        <w:jc w:val="center"/>
        <w:rPr>
          <w:rFonts w:asciiTheme="majorEastAsia" w:hAnsiTheme="majorEastAsia" w:eastAsiaTheme="majorEastAsia"/>
          <w:b/>
          <w:bCs/>
          <w:sz w:val="32"/>
        </w:rPr>
      </w:pPr>
    </w:p>
    <w:p>
      <w:pPr>
        <w:spacing w:line="360" w:lineRule="auto"/>
        <w:jc w:val="center"/>
        <w:rPr>
          <w:rFonts w:asciiTheme="majorEastAsia" w:hAnsiTheme="majorEastAsia" w:eastAsiaTheme="majorEastAsia"/>
          <w:b/>
          <w:bCs/>
          <w:sz w:val="32"/>
        </w:rPr>
      </w:pPr>
    </w:p>
    <w:p>
      <w:pPr>
        <w:spacing w:line="360" w:lineRule="auto"/>
        <w:jc w:val="center"/>
        <w:rPr>
          <w:rFonts w:asciiTheme="majorEastAsia" w:hAnsiTheme="majorEastAsia" w:eastAsiaTheme="majorEastAsia"/>
          <w:b/>
          <w:bCs/>
          <w:sz w:val="32"/>
        </w:rPr>
      </w:pPr>
    </w:p>
    <w:p>
      <w:pPr>
        <w:spacing w:line="360" w:lineRule="auto"/>
        <w:jc w:val="center"/>
        <w:rPr>
          <w:rFonts w:asciiTheme="majorEastAsia" w:hAnsiTheme="majorEastAsia" w:eastAsiaTheme="majorEastAsia"/>
          <w:b/>
          <w:bCs/>
          <w:sz w:val="32"/>
        </w:rPr>
      </w:pPr>
    </w:p>
    <w:p>
      <w:pPr>
        <w:spacing w:line="360" w:lineRule="auto"/>
        <w:jc w:val="center"/>
        <w:rPr>
          <w:rFonts w:asciiTheme="majorEastAsia" w:hAnsiTheme="majorEastAsia" w:eastAsiaTheme="majorEastAsia"/>
          <w:b/>
          <w:bCs/>
          <w:sz w:val="32"/>
        </w:rPr>
      </w:pPr>
    </w:p>
    <w:p>
      <w:pPr>
        <w:spacing w:line="360" w:lineRule="auto"/>
        <w:jc w:val="center"/>
        <w:rPr>
          <w:rFonts w:asciiTheme="majorEastAsia" w:hAnsiTheme="majorEastAsia" w:eastAsiaTheme="majorEastAsia"/>
          <w:b/>
          <w:bCs/>
          <w:sz w:val="32"/>
        </w:rPr>
      </w:pPr>
    </w:p>
    <w:p>
      <w:pPr>
        <w:spacing w:line="360" w:lineRule="auto"/>
        <w:jc w:val="center"/>
        <w:rPr>
          <w:rFonts w:asciiTheme="majorEastAsia" w:hAnsiTheme="majorEastAsia" w:eastAsiaTheme="majorEastAsia"/>
          <w:b/>
          <w:bCs/>
          <w:sz w:val="32"/>
        </w:rPr>
      </w:pPr>
    </w:p>
    <w:p>
      <w:pPr>
        <w:spacing w:line="360" w:lineRule="auto"/>
        <w:jc w:val="center"/>
        <w:rPr>
          <w:rFonts w:asciiTheme="majorEastAsia" w:hAnsiTheme="majorEastAsia" w:eastAsiaTheme="majorEastAsia"/>
          <w:b/>
          <w:bCs/>
          <w:sz w:val="32"/>
        </w:rPr>
      </w:pPr>
    </w:p>
    <w:p>
      <w:pPr>
        <w:spacing w:line="360" w:lineRule="auto"/>
        <w:jc w:val="center"/>
        <w:rPr>
          <w:rFonts w:asciiTheme="majorEastAsia" w:hAnsiTheme="majorEastAsia" w:eastAsiaTheme="majorEastAsia"/>
          <w:b/>
          <w:bCs/>
          <w:sz w:val="32"/>
        </w:rPr>
      </w:pPr>
    </w:p>
    <w:p>
      <w:pPr>
        <w:spacing w:line="360" w:lineRule="auto"/>
        <w:rPr>
          <w:rFonts w:asciiTheme="majorEastAsia" w:hAnsiTheme="majorEastAsia" w:eastAsiaTheme="majorEastAsia"/>
          <w:b/>
          <w:bCs/>
          <w:sz w:val="32"/>
        </w:rPr>
      </w:pPr>
    </w:p>
    <w:p>
      <w:pPr>
        <w:spacing w:line="360" w:lineRule="auto"/>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第三部分</w:t>
      </w:r>
    </w:p>
    <w:p>
      <w:pPr>
        <w:spacing w:line="360" w:lineRule="auto"/>
        <w:jc w:val="center"/>
        <w:rPr>
          <w:rFonts w:hint="eastAsia" w:asciiTheme="majorEastAsia" w:hAnsiTheme="majorEastAsia" w:eastAsiaTheme="majorEastAsia"/>
          <w:b/>
          <w:bCs/>
          <w:sz w:val="44"/>
          <w:szCs w:val="44"/>
        </w:rPr>
      </w:pPr>
      <w:r>
        <w:rPr>
          <w:rFonts w:hint="eastAsia" w:asciiTheme="majorEastAsia" w:hAnsiTheme="majorEastAsia" w:eastAsiaTheme="majorEastAsia"/>
          <w:b/>
          <w:bCs/>
          <w:sz w:val="44"/>
          <w:szCs w:val="44"/>
          <w:lang w:eastAsia="zh-CN"/>
        </w:rPr>
        <w:t>双湖县疾控中心</w:t>
      </w:r>
      <w:r>
        <w:rPr>
          <w:rFonts w:hint="eastAsia" w:asciiTheme="majorEastAsia" w:hAnsiTheme="majorEastAsia" w:eastAsiaTheme="majorEastAsia"/>
          <w:b/>
          <w:bCs/>
          <w:sz w:val="44"/>
          <w:szCs w:val="44"/>
        </w:rPr>
        <w:t>2018年度部门预算</w:t>
      </w:r>
    </w:p>
    <w:p>
      <w:pPr>
        <w:spacing w:line="360" w:lineRule="auto"/>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数据分析</w:t>
      </w:r>
    </w:p>
    <w:p>
      <w:pPr>
        <w:spacing w:line="360" w:lineRule="auto"/>
        <w:rPr>
          <w:rFonts w:asciiTheme="majorEastAsia" w:hAnsiTheme="majorEastAsia" w:eastAsiaTheme="majorEastAsia"/>
          <w:b/>
          <w:bCs/>
          <w:sz w:val="30"/>
          <w:szCs w:val="30"/>
        </w:rPr>
      </w:pPr>
      <w:r>
        <w:rPr>
          <w:rFonts w:hint="eastAsia" w:asciiTheme="majorEastAsia" w:hAnsiTheme="majorEastAsia" w:eastAsiaTheme="majorEastAsia"/>
          <w:b/>
          <w:bCs/>
          <w:sz w:val="30"/>
          <w:szCs w:val="30"/>
        </w:rPr>
        <w:t>一、2018年度财政拨款收支预算情况总体说明</w:t>
      </w:r>
    </w:p>
    <w:p>
      <w:pPr>
        <w:spacing w:line="360" w:lineRule="auto"/>
        <w:ind w:firstLine="600"/>
        <w:rPr>
          <w:rFonts w:hint="eastAsia" w:ascii="仿宋" w:hAnsi="仿宋" w:eastAsia="仿宋" w:cs="仿宋"/>
          <w:sz w:val="32"/>
        </w:rPr>
      </w:pPr>
      <w:r>
        <w:rPr>
          <w:rFonts w:hint="eastAsia" w:ascii="仿宋" w:hAnsi="仿宋" w:eastAsia="仿宋" w:cs="仿宋"/>
          <w:sz w:val="32"/>
        </w:rPr>
        <w:t>2018年</w:t>
      </w:r>
      <w:r>
        <w:rPr>
          <w:rFonts w:hint="eastAsia" w:ascii="仿宋" w:hAnsi="仿宋" w:eastAsia="仿宋" w:cs="仿宋"/>
          <w:sz w:val="32"/>
          <w:lang w:eastAsia="zh-CN"/>
        </w:rPr>
        <w:t>疾控中心一般公共预算财政拨款</w:t>
      </w:r>
      <w:r>
        <w:rPr>
          <w:rFonts w:hint="eastAsia" w:ascii="仿宋" w:hAnsi="仿宋" w:eastAsia="仿宋" w:cs="仿宋"/>
          <w:sz w:val="32"/>
        </w:rPr>
        <w:t>收入为：</w:t>
      </w:r>
      <w:r>
        <w:rPr>
          <w:rFonts w:hint="eastAsia" w:ascii="仿宋" w:hAnsi="仿宋" w:eastAsia="仿宋" w:cs="仿宋"/>
          <w:sz w:val="32"/>
          <w:lang w:val="en-US" w:eastAsia="zh-CN"/>
        </w:rPr>
        <w:t>1091574.6</w:t>
      </w:r>
      <w:r>
        <w:rPr>
          <w:rFonts w:hint="eastAsia" w:ascii="仿宋" w:hAnsi="仿宋" w:eastAsia="仿宋" w:cs="仿宋"/>
          <w:sz w:val="32"/>
        </w:rPr>
        <w:t>元。</w:t>
      </w:r>
    </w:p>
    <w:p>
      <w:pPr>
        <w:spacing w:line="360" w:lineRule="auto"/>
        <w:rPr>
          <w:rFonts w:hint="eastAsia" w:asciiTheme="majorEastAsia" w:hAnsiTheme="majorEastAsia" w:eastAsiaTheme="majorEastAsia"/>
          <w:b/>
          <w:bCs/>
          <w:sz w:val="30"/>
          <w:szCs w:val="30"/>
        </w:rPr>
      </w:pPr>
      <w:r>
        <w:rPr>
          <w:rFonts w:hint="eastAsia" w:asciiTheme="majorEastAsia" w:hAnsiTheme="majorEastAsia" w:eastAsiaTheme="majorEastAsia"/>
          <w:b/>
          <w:bCs/>
          <w:sz w:val="30"/>
          <w:szCs w:val="30"/>
        </w:rPr>
        <w:t>二、2018年度一般公共预算当年财政拨款情况说明</w:t>
      </w:r>
    </w:p>
    <w:p>
      <w:pPr>
        <w:tabs>
          <w:tab w:val="left" w:pos="3675"/>
        </w:tabs>
        <w:spacing w:line="360" w:lineRule="auto"/>
        <w:ind w:firstLine="640" w:firstLineChars="200"/>
        <w:outlineLvl w:val="1"/>
        <w:rPr>
          <w:rFonts w:asciiTheme="majorEastAsia" w:hAnsiTheme="majorEastAsia" w:eastAsiaTheme="majorEastAsia"/>
          <w:sz w:val="32"/>
        </w:rPr>
      </w:pPr>
      <w:r>
        <w:rPr>
          <w:rFonts w:hint="eastAsia" w:ascii="仿宋" w:hAnsi="仿宋" w:eastAsia="仿宋" w:cs="仿宋"/>
          <w:sz w:val="32"/>
        </w:rPr>
        <w:t>2018年拨款总额为</w:t>
      </w:r>
      <w:r>
        <w:rPr>
          <w:rFonts w:hint="eastAsia" w:ascii="仿宋" w:hAnsi="仿宋" w:eastAsia="仿宋" w:cs="仿宋"/>
          <w:sz w:val="32"/>
          <w:lang w:val="en-US" w:eastAsia="zh-CN"/>
        </w:rPr>
        <w:t>1091574.6</w:t>
      </w:r>
      <w:r>
        <w:rPr>
          <w:rFonts w:hint="eastAsia" w:ascii="仿宋" w:hAnsi="仿宋" w:eastAsia="仿宋" w:cs="仿宋"/>
          <w:sz w:val="32"/>
        </w:rPr>
        <w:t>元。其中</w:t>
      </w:r>
      <w:r>
        <w:rPr>
          <w:rFonts w:hint="eastAsia" w:ascii="仿宋" w:hAnsi="仿宋" w:eastAsia="仿宋" w:cs="仿宋"/>
          <w:sz w:val="32"/>
          <w:lang w:eastAsia="zh-CN"/>
        </w:rPr>
        <w:t>：</w:t>
      </w:r>
      <w:r>
        <w:rPr>
          <w:rFonts w:hint="eastAsia" w:ascii="仿宋" w:hAnsi="仿宋" w:eastAsia="仿宋" w:cs="仿宋"/>
          <w:sz w:val="32"/>
        </w:rPr>
        <w:t>工资福利支出金额</w:t>
      </w:r>
      <w:r>
        <w:rPr>
          <w:rFonts w:hint="eastAsia" w:ascii="仿宋" w:hAnsi="仿宋" w:eastAsia="仿宋" w:cs="仿宋"/>
          <w:sz w:val="32"/>
          <w:lang w:val="en-US" w:eastAsia="zh-CN"/>
        </w:rPr>
        <w:t>919974.6</w:t>
      </w:r>
      <w:r>
        <w:rPr>
          <w:rFonts w:hint="eastAsia" w:ascii="仿宋" w:hAnsi="仿宋" w:eastAsia="仿宋" w:cs="仿宋"/>
          <w:sz w:val="32"/>
        </w:rPr>
        <w:t>元；商品与服务支出</w:t>
      </w:r>
      <w:r>
        <w:rPr>
          <w:rFonts w:hint="eastAsia" w:ascii="仿宋" w:hAnsi="仿宋" w:eastAsia="仿宋" w:cs="仿宋"/>
          <w:sz w:val="32"/>
          <w:lang w:val="en-US" w:eastAsia="zh-CN"/>
        </w:rPr>
        <w:t>40000</w:t>
      </w:r>
      <w:r>
        <w:rPr>
          <w:rFonts w:hint="eastAsia" w:ascii="仿宋" w:hAnsi="仿宋" w:eastAsia="仿宋" w:cs="仿宋"/>
          <w:sz w:val="32"/>
        </w:rPr>
        <w:t>元；行政事业性项目支出</w:t>
      </w:r>
      <w:r>
        <w:rPr>
          <w:rFonts w:hint="eastAsia" w:ascii="仿宋" w:hAnsi="仿宋" w:eastAsia="仿宋" w:cs="仿宋"/>
          <w:sz w:val="32"/>
          <w:lang w:val="en-US" w:eastAsia="zh-CN"/>
        </w:rPr>
        <w:t>131600</w:t>
      </w:r>
      <w:r>
        <w:rPr>
          <w:rFonts w:hint="eastAsia" w:ascii="仿宋" w:hAnsi="仿宋" w:eastAsia="仿宋" w:cs="仿宋"/>
          <w:sz w:val="32"/>
        </w:rPr>
        <w:t>元</w:t>
      </w:r>
      <w:r>
        <w:rPr>
          <w:rFonts w:hint="eastAsia" w:asciiTheme="majorEastAsia" w:hAnsiTheme="majorEastAsia" w:eastAsiaTheme="majorEastAsia"/>
          <w:sz w:val="32"/>
        </w:rPr>
        <w:t>。</w:t>
      </w:r>
    </w:p>
    <w:p>
      <w:pPr>
        <w:spacing w:line="360" w:lineRule="auto"/>
        <w:rPr>
          <w:rFonts w:hint="eastAsia" w:asciiTheme="majorEastAsia" w:hAnsiTheme="majorEastAsia" w:eastAsiaTheme="majorEastAsia"/>
          <w:b/>
          <w:bCs/>
          <w:sz w:val="30"/>
          <w:szCs w:val="30"/>
        </w:rPr>
      </w:pPr>
      <w:r>
        <w:rPr>
          <w:rFonts w:hint="eastAsia" w:asciiTheme="majorEastAsia" w:hAnsiTheme="majorEastAsia" w:eastAsiaTheme="majorEastAsia"/>
          <w:b/>
          <w:bCs/>
          <w:sz w:val="30"/>
          <w:szCs w:val="30"/>
        </w:rPr>
        <w:t>三、2018年度一般公共预算基本支出情况说明</w:t>
      </w:r>
    </w:p>
    <w:p>
      <w:pPr>
        <w:tabs>
          <w:tab w:val="left" w:pos="3675"/>
        </w:tabs>
        <w:ind w:firstLine="640" w:firstLineChars="200"/>
        <w:rPr>
          <w:rFonts w:hint="eastAsia" w:ascii="仿宋" w:hAnsi="仿宋" w:eastAsia="仿宋" w:cs="仿宋"/>
          <w:sz w:val="32"/>
        </w:rPr>
      </w:pPr>
      <w:r>
        <w:rPr>
          <w:rFonts w:hint="eastAsia" w:ascii="仿宋" w:hAnsi="仿宋" w:eastAsia="仿宋" w:cs="仿宋"/>
          <w:sz w:val="32"/>
          <w:lang w:eastAsia="zh-CN"/>
        </w:rPr>
        <w:t>疾控中心</w:t>
      </w:r>
      <w:r>
        <w:rPr>
          <w:rFonts w:hint="eastAsia" w:ascii="仿宋" w:hAnsi="仿宋" w:eastAsia="仿宋" w:cs="仿宋"/>
          <w:sz w:val="32"/>
        </w:rPr>
        <w:t>商品和服务支出经费安排情况</w:t>
      </w:r>
      <w:r>
        <w:rPr>
          <w:rFonts w:hint="eastAsia" w:ascii="仿宋" w:hAnsi="仿宋" w:eastAsia="仿宋" w:cs="仿宋"/>
          <w:sz w:val="32"/>
          <w:lang w:val="en-US" w:eastAsia="zh-CN"/>
        </w:rPr>
        <w:t>40000</w:t>
      </w:r>
      <w:r>
        <w:rPr>
          <w:rFonts w:hint="eastAsia" w:ascii="仿宋" w:hAnsi="仿宋" w:eastAsia="仿宋" w:cs="仿宋"/>
          <w:sz w:val="32"/>
        </w:rPr>
        <w:t>元。其中</w:t>
      </w:r>
      <w:r>
        <w:rPr>
          <w:rFonts w:hint="eastAsia" w:ascii="仿宋" w:hAnsi="仿宋" w:eastAsia="仿宋" w:cs="仿宋"/>
          <w:sz w:val="32"/>
          <w:lang w:eastAsia="zh-CN"/>
        </w:rPr>
        <w:t>：</w:t>
      </w:r>
      <w:r>
        <w:rPr>
          <w:rFonts w:hint="eastAsia" w:ascii="仿宋" w:hAnsi="仿宋" w:eastAsia="仿宋" w:cs="仿宋"/>
          <w:sz w:val="32"/>
        </w:rPr>
        <w:t>办公费</w:t>
      </w:r>
      <w:r>
        <w:rPr>
          <w:rFonts w:hint="eastAsia" w:ascii="仿宋" w:hAnsi="仿宋" w:eastAsia="仿宋" w:cs="仿宋"/>
          <w:sz w:val="32"/>
          <w:lang w:val="en-US" w:eastAsia="zh-CN"/>
        </w:rPr>
        <w:t>4000</w:t>
      </w:r>
      <w:r>
        <w:rPr>
          <w:rFonts w:hint="eastAsia" w:ascii="仿宋" w:hAnsi="仿宋" w:eastAsia="仿宋" w:cs="仿宋"/>
          <w:sz w:val="32"/>
        </w:rPr>
        <w:t>元</w:t>
      </w:r>
      <w:r>
        <w:rPr>
          <w:rFonts w:hint="eastAsia" w:ascii="仿宋" w:hAnsi="仿宋" w:eastAsia="仿宋" w:cs="仿宋"/>
          <w:sz w:val="32"/>
          <w:lang w:eastAsia="zh-CN"/>
        </w:rPr>
        <w:t>、</w:t>
      </w:r>
      <w:r>
        <w:rPr>
          <w:rFonts w:hint="eastAsia" w:ascii="仿宋" w:hAnsi="仿宋" w:eastAsia="仿宋" w:cs="仿宋"/>
          <w:sz w:val="32"/>
        </w:rPr>
        <w:t>印刷费</w:t>
      </w:r>
      <w:r>
        <w:rPr>
          <w:rFonts w:hint="eastAsia" w:ascii="仿宋" w:hAnsi="仿宋" w:eastAsia="仿宋" w:cs="仿宋"/>
          <w:sz w:val="32"/>
          <w:lang w:val="en-US" w:eastAsia="zh-CN"/>
        </w:rPr>
        <w:t>4000</w:t>
      </w:r>
      <w:r>
        <w:rPr>
          <w:rFonts w:hint="eastAsia" w:ascii="仿宋" w:hAnsi="仿宋" w:eastAsia="仿宋" w:cs="仿宋"/>
          <w:sz w:val="32"/>
        </w:rPr>
        <w:t>元</w:t>
      </w:r>
      <w:r>
        <w:rPr>
          <w:rFonts w:hint="eastAsia" w:ascii="仿宋" w:hAnsi="仿宋" w:eastAsia="仿宋" w:cs="仿宋"/>
          <w:sz w:val="32"/>
          <w:lang w:eastAsia="zh-CN"/>
        </w:rPr>
        <w:t>、差旅费</w:t>
      </w:r>
      <w:r>
        <w:rPr>
          <w:rFonts w:hint="eastAsia" w:ascii="仿宋" w:hAnsi="仿宋" w:eastAsia="仿宋" w:cs="仿宋"/>
          <w:sz w:val="32"/>
          <w:lang w:val="en-US" w:eastAsia="zh-CN"/>
        </w:rPr>
        <w:t>12000元、</w:t>
      </w:r>
      <w:r>
        <w:rPr>
          <w:rFonts w:hint="eastAsia" w:ascii="仿宋" w:hAnsi="仿宋" w:eastAsia="仿宋" w:cs="仿宋"/>
          <w:sz w:val="32"/>
        </w:rPr>
        <w:t>公务用车运行维护费</w:t>
      </w:r>
      <w:r>
        <w:rPr>
          <w:rFonts w:hint="eastAsia" w:ascii="仿宋" w:hAnsi="仿宋" w:eastAsia="仿宋" w:cs="仿宋"/>
          <w:sz w:val="32"/>
          <w:lang w:val="en-US" w:eastAsia="zh-CN"/>
        </w:rPr>
        <w:t>12800</w:t>
      </w:r>
      <w:r>
        <w:rPr>
          <w:rFonts w:hint="eastAsia" w:ascii="仿宋" w:hAnsi="仿宋" w:eastAsia="仿宋" w:cs="仿宋"/>
          <w:sz w:val="32"/>
        </w:rPr>
        <w:t>元</w:t>
      </w:r>
      <w:r>
        <w:rPr>
          <w:rFonts w:hint="eastAsia" w:ascii="仿宋" w:hAnsi="仿宋" w:eastAsia="仿宋" w:cs="仿宋"/>
          <w:sz w:val="32"/>
          <w:lang w:eastAsia="zh-CN"/>
        </w:rPr>
        <w:t>、</w:t>
      </w:r>
      <w:r>
        <w:rPr>
          <w:rFonts w:hint="eastAsia" w:ascii="仿宋" w:hAnsi="仿宋" w:eastAsia="仿宋" w:cs="仿宋"/>
          <w:sz w:val="32"/>
        </w:rPr>
        <w:t>会议费</w:t>
      </w:r>
      <w:r>
        <w:rPr>
          <w:rFonts w:hint="eastAsia" w:ascii="仿宋" w:hAnsi="仿宋" w:eastAsia="仿宋" w:cs="仿宋"/>
          <w:sz w:val="32"/>
          <w:lang w:val="en-US" w:eastAsia="zh-CN"/>
        </w:rPr>
        <w:t>1200元、培训费2000元、维修（护）费2000元、其它商品和服务支出2000元。</w:t>
      </w:r>
    </w:p>
    <w:p>
      <w:pPr>
        <w:spacing w:line="360" w:lineRule="auto"/>
        <w:rPr>
          <w:rFonts w:hint="eastAsia" w:asciiTheme="majorEastAsia" w:hAnsiTheme="majorEastAsia" w:eastAsiaTheme="majorEastAsia"/>
          <w:b/>
          <w:bCs/>
          <w:sz w:val="30"/>
          <w:szCs w:val="30"/>
        </w:rPr>
      </w:pPr>
      <w:r>
        <w:rPr>
          <w:rFonts w:hint="eastAsia" w:asciiTheme="majorEastAsia" w:hAnsiTheme="majorEastAsia" w:eastAsiaTheme="majorEastAsia"/>
          <w:b/>
          <w:bCs/>
          <w:sz w:val="30"/>
          <w:szCs w:val="30"/>
        </w:rPr>
        <w:t>四、2018年度一般公共预算“三公”经费预算情况说明</w:t>
      </w:r>
    </w:p>
    <w:p>
      <w:pPr>
        <w:tabs>
          <w:tab w:val="left" w:pos="3675"/>
        </w:tabs>
        <w:spacing w:line="360" w:lineRule="auto"/>
        <w:ind w:firstLine="640" w:firstLineChars="200"/>
        <w:rPr>
          <w:rFonts w:asciiTheme="majorEastAsia" w:hAnsiTheme="majorEastAsia" w:eastAsiaTheme="majorEastAsia"/>
          <w:sz w:val="32"/>
        </w:rPr>
      </w:pPr>
      <w:r>
        <w:rPr>
          <w:rFonts w:hint="eastAsia" w:ascii="仿宋" w:hAnsi="仿宋" w:eastAsia="仿宋" w:cs="仿宋"/>
          <w:sz w:val="32"/>
        </w:rPr>
        <w:t>2018年一般公共预算拨款中商品和服务支出预算</w:t>
      </w:r>
      <w:r>
        <w:rPr>
          <w:rFonts w:hint="eastAsia" w:ascii="仿宋" w:hAnsi="仿宋" w:eastAsia="仿宋" w:cs="仿宋"/>
          <w:sz w:val="32"/>
          <w:lang w:val="en-US" w:eastAsia="zh-CN"/>
        </w:rPr>
        <w:t>40000</w:t>
      </w:r>
      <w:r>
        <w:rPr>
          <w:rFonts w:hint="eastAsia" w:ascii="仿宋" w:hAnsi="仿宋" w:eastAsia="仿宋" w:cs="仿宋"/>
          <w:sz w:val="32"/>
        </w:rPr>
        <w:t>元。其中“三公”经费</w:t>
      </w:r>
      <w:r>
        <w:rPr>
          <w:rFonts w:hint="eastAsia" w:ascii="仿宋" w:hAnsi="仿宋" w:eastAsia="仿宋" w:cs="仿宋"/>
          <w:sz w:val="32"/>
          <w:lang w:eastAsia="zh-CN"/>
        </w:rPr>
        <w:t>安排</w:t>
      </w:r>
      <w:r>
        <w:rPr>
          <w:rFonts w:hint="eastAsia" w:ascii="仿宋" w:hAnsi="仿宋" w:eastAsia="仿宋" w:cs="仿宋"/>
          <w:sz w:val="32"/>
        </w:rPr>
        <w:t>：公务用车运行维护费</w:t>
      </w:r>
      <w:r>
        <w:rPr>
          <w:rFonts w:hint="eastAsia" w:ascii="仿宋" w:hAnsi="仿宋" w:eastAsia="仿宋" w:cs="仿宋"/>
          <w:sz w:val="32"/>
          <w:lang w:val="en-US" w:eastAsia="zh-CN"/>
        </w:rPr>
        <w:t>12800</w:t>
      </w:r>
      <w:r>
        <w:rPr>
          <w:rFonts w:hint="eastAsia" w:ascii="仿宋" w:hAnsi="仿宋" w:eastAsia="仿宋" w:cs="仿宋"/>
          <w:sz w:val="32"/>
        </w:rPr>
        <w:t>元</w:t>
      </w:r>
      <w:r>
        <w:rPr>
          <w:rFonts w:hint="eastAsia" w:ascii="仿宋" w:hAnsi="仿宋" w:eastAsia="仿宋" w:cs="仿宋"/>
          <w:sz w:val="32"/>
          <w:lang w:eastAsia="zh-CN"/>
        </w:rPr>
        <w:t>、会议费</w:t>
      </w:r>
      <w:r>
        <w:rPr>
          <w:rFonts w:hint="eastAsia" w:ascii="仿宋" w:hAnsi="仿宋" w:eastAsia="仿宋" w:cs="仿宋"/>
          <w:sz w:val="32"/>
          <w:lang w:val="en-US" w:eastAsia="zh-CN"/>
        </w:rPr>
        <w:t>1200元</w:t>
      </w:r>
      <w:r>
        <w:rPr>
          <w:rFonts w:hint="eastAsia" w:ascii="仿宋" w:hAnsi="仿宋" w:eastAsia="仿宋" w:cs="仿宋"/>
          <w:sz w:val="32"/>
        </w:rPr>
        <w:t>。</w:t>
      </w:r>
    </w:p>
    <w:p>
      <w:pPr>
        <w:spacing w:line="360" w:lineRule="auto"/>
        <w:rPr>
          <w:rFonts w:asciiTheme="majorEastAsia" w:hAnsiTheme="majorEastAsia" w:eastAsiaTheme="majorEastAsia"/>
          <w:sz w:val="30"/>
          <w:szCs w:val="30"/>
        </w:rPr>
      </w:pPr>
    </w:p>
    <w:p>
      <w:pPr>
        <w:spacing w:line="360" w:lineRule="auto"/>
        <w:jc w:val="center"/>
        <w:rPr>
          <w:rFonts w:asciiTheme="majorEastAsia" w:hAnsiTheme="majorEastAsia" w:eastAsiaTheme="majorEastAsia"/>
          <w:b/>
          <w:bCs/>
          <w:sz w:val="32"/>
        </w:rPr>
      </w:pPr>
    </w:p>
    <w:p>
      <w:pPr>
        <w:spacing w:line="360" w:lineRule="auto"/>
        <w:jc w:val="center"/>
        <w:rPr>
          <w:rFonts w:asciiTheme="majorEastAsia" w:hAnsiTheme="majorEastAsia" w:eastAsiaTheme="majorEastAsia"/>
          <w:b/>
          <w:bCs/>
          <w:sz w:val="32"/>
        </w:rPr>
      </w:pPr>
    </w:p>
    <w:p>
      <w:pPr>
        <w:spacing w:line="360" w:lineRule="auto"/>
        <w:jc w:val="center"/>
        <w:rPr>
          <w:rFonts w:asciiTheme="majorEastAsia" w:hAnsiTheme="majorEastAsia" w:eastAsiaTheme="majorEastAsia"/>
          <w:b/>
          <w:bCs/>
          <w:sz w:val="32"/>
        </w:rPr>
      </w:pPr>
    </w:p>
    <w:p>
      <w:pPr>
        <w:ind w:firstLine="3213" w:firstLineChars="1000"/>
        <w:rPr>
          <w:rFonts w:hint="eastAsia" w:ascii="仿宋" w:hAnsi="仿宋" w:eastAsia="仿宋" w:cs="仿宋"/>
          <w:b/>
          <w:bCs/>
          <w:sz w:val="32"/>
          <w:szCs w:val="32"/>
          <w:lang w:val="zh-CN"/>
        </w:rPr>
      </w:pPr>
      <w:r>
        <w:rPr>
          <w:rFonts w:hint="eastAsia" w:ascii="仿宋" w:hAnsi="仿宋" w:eastAsia="仿宋" w:cs="仿宋"/>
          <w:b/>
          <w:bCs/>
          <w:sz w:val="32"/>
          <w:szCs w:val="32"/>
          <w:lang w:val="zh-CN"/>
        </w:rPr>
        <w:t>第四部分</w:t>
      </w:r>
    </w:p>
    <w:p>
      <w:pPr>
        <w:ind w:firstLine="2891" w:firstLineChars="900"/>
        <w:rPr>
          <w:rFonts w:hint="eastAsia" w:ascii="仿宋" w:hAnsi="仿宋" w:eastAsia="仿宋" w:cs="仿宋"/>
          <w:b/>
          <w:bCs/>
          <w:sz w:val="32"/>
          <w:szCs w:val="32"/>
          <w:lang w:val="zh-CN"/>
        </w:rPr>
      </w:pPr>
      <w:r>
        <w:rPr>
          <w:rFonts w:hint="eastAsia" w:ascii="仿宋" w:hAnsi="仿宋" w:eastAsia="仿宋" w:cs="仿宋"/>
          <w:b/>
          <w:bCs/>
          <w:sz w:val="32"/>
          <w:szCs w:val="32"/>
          <w:lang w:val="zh-CN"/>
        </w:rPr>
        <w:t>附件：名词解释</w:t>
      </w:r>
    </w:p>
    <w:p>
      <w:pPr>
        <w:numPr>
          <w:ilvl w:val="0"/>
          <w:numId w:val="1"/>
        </w:numPr>
        <w:tabs>
          <w:tab w:val="left" w:pos="0"/>
          <w:tab w:val="clear" w:pos="1080"/>
        </w:tabs>
        <w:spacing w:line="560" w:lineRule="exact"/>
        <w:ind w:left="0" w:firstLine="524" w:firstLineChars="164"/>
        <w:rPr>
          <w:rFonts w:hint="eastAsia" w:ascii="仿宋" w:hAnsi="仿宋" w:eastAsia="仿宋" w:cs="仿宋"/>
          <w:sz w:val="32"/>
          <w:szCs w:val="32"/>
          <w:lang w:val="zh-CN"/>
        </w:rPr>
      </w:pPr>
      <w:r>
        <w:rPr>
          <w:rFonts w:hint="eastAsia" w:ascii="仿宋" w:hAnsi="仿宋" w:eastAsia="仿宋" w:cs="仿宋"/>
          <w:sz w:val="32"/>
          <w:szCs w:val="32"/>
          <w:lang w:val="zh-CN"/>
        </w:rPr>
        <w:t xml:space="preserve"> 公共财政预算收入：指政府凭借国家政治权利，社会管理者身份筹集以税为主题的财政收入，主要用于保障和改善民生、维持国家行政职能正常运转、保障民生等方面。</w:t>
      </w:r>
    </w:p>
    <w:p>
      <w:pPr>
        <w:numPr>
          <w:ilvl w:val="0"/>
          <w:numId w:val="1"/>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以公共服务支出：指主要用于保障机关事业单位正常运转，支持各机关单位履行职能，保障各机关部门的项目支出需要。</w:t>
      </w:r>
    </w:p>
    <w:p>
      <w:pPr>
        <w:numPr>
          <w:ilvl w:val="0"/>
          <w:numId w:val="1"/>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税收收入：指国家凭借其政治权利，依据法定标准，从单位和个人无法取得的一种财政收入。</w:t>
      </w:r>
    </w:p>
    <w:p>
      <w:pPr>
        <w:numPr>
          <w:ilvl w:val="0"/>
          <w:numId w:val="1"/>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w:t>
      </w:r>
    </w:p>
    <w:p>
      <w:pPr>
        <w:numPr>
          <w:ilvl w:val="0"/>
          <w:numId w:val="1"/>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“三公”经费：指政府部门人员因公出国（境）经费、公务车购置及运行维护费、公务接待费产生的消费，是当前公共行政领域亟待解决分析问题之一。</w:t>
      </w:r>
    </w:p>
    <w:p>
      <w:pPr>
        <w:numPr>
          <w:ilvl w:val="0"/>
          <w:numId w:val="1"/>
        </w:numPr>
        <w:tabs>
          <w:tab w:val="left" w:pos="0"/>
          <w:tab w:val="clear" w:pos="1080"/>
        </w:tabs>
        <w:spacing w:line="560" w:lineRule="exact"/>
        <w:ind w:left="0" w:firstLine="640" w:firstLineChars="200"/>
        <w:rPr>
          <w:rFonts w:asciiTheme="majorEastAsia" w:hAnsiTheme="majorEastAsia" w:eastAsiaTheme="majorEastAsia"/>
          <w:b/>
          <w:bCs/>
          <w:sz w:val="30"/>
          <w:szCs w:val="30"/>
        </w:rPr>
      </w:pPr>
      <w:r>
        <w:rPr>
          <w:rFonts w:hint="eastAsia" w:ascii="仿宋" w:hAnsi="仿宋" w:eastAsia="仿宋" w:cs="仿宋"/>
          <w:sz w:val="32"/>
          <w:szCs w:val="32"/>
          <w:lang w:val="zh-CN"/>
        </w:rPr>
        <w:t>农村税费改革包括：（1）、村干部基本报酬和业绩考核奖励；（2）、村级组织工作经费；（3）、五保户供养经费；（4）、义务兵优待经费；（5）、村文化室管理经费；（6）、计划生育经费；(7)、村级道路维护经费</w:t>
      </w:r>
      <w:bookmarkStart w:id="1" w:name="_GoBack"/>
      <w:bookmarkEnd w:id="1"/>
      <w:r>
        <w:rPr>
          <w:rFonts w:hint="eastAsia" w:ascii="仿宋" w:hAnsi="仿宋" w:eastAsia="仿宋" w:cs="仿宋"/>
          <w:sz w:val="32"/>
          <w:szCs w:val="32"/>
          <w:lang w:val="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47771"/>
    <w:multiLevelType w:val="multilevel"/>
    <w:tmpl w:val="76347771"/>
    <w:lvl w:ilvl="0" w:tentative="0">
      <w:start w:val="1"/>
      <w:numFmt w:val="decimal"/>
      <w:lvlText w:val="%1、"/>
      <w:lvlJc w:val="left"/>
      <w:pPr>
        <w:tabs>
          <w:tab w:val="left" w:pos="1080"/>
        </w:tabs>
        <w:ind w:left="1080" w:hanging="108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14CC8"/>
    <w:rsid w:val="00034C83"/>
    <w:rsid w:val="00042FEB"/>
    <w:rsid w:val="000F1F05"/>
    <w:rsid w:val="0013553A"/>
    <w:rsid w:val="001C633F"/>
    <w:rsid w:val="001D008F"/>
    <w:rsid w:val="00213E2B"/>
    <w:rsid w:val="00223A2D"/>
    <w:rsid w:val="0025069A"/>
    <w:rsid w:val="00272FAC"/>
    <w:rsid w:val="00315603"/>
    <w:rsid w:val="003B005D"/>
    <w:rsid w:val="003C23AA"/>
    <w:rsid w:val="00414CC8"/>
    <w:rsid w:val="004434F9"/>
    <w:rsid w:val="004A325D"/>
    <w:rsid w:val="004E6FD9"/>
    <w:rsid w:val="004F7FCA"/>
    <w:rsid w:val="00532A4D"/>
    <w:rsid w:val="00553ABE"/>
    <w:rsid w:val="005D1116"/>
    <w:rsid w:val="00602045"/>
    <w:rsid w:val="006B1FD0"/>
    <w:rsid w:val="00797E54"/>
    <w:rsid w:val="007F7753"/>
    <w:rsid w:val="00814304"/>
    <w:rsid w:val="00820FFD"/>
    <w:rsid w:val="009046E0"/>
    <w:rsid w:val="00997F21"/>
    <w:rsid w:val="00A11AD0"/>
    <w:rsid w:val="00A16302"/>
    <w:rsid w:val="00A45E91"/>
    <w:rsid w:val="00AA08FF"/>
    <w:rsid w:val="00AD3003"/>
    <w:rsid w:val="00B72826"/>
    <w:rsid w:val="00BD1B80"/>
    <w:rsid w:val="00C02398"/>
    <w:rsid w:val="00C0767B"/>
    <w:rsid w:val="00D82962"/>
    <w:rsid w:val="00D903AA"/>
    <w:rsid w:val="00D91CA0"/>
    <w:rsid w:val="00DA7B11"/>
    <w:rsid w:val="00E05CE5"/>
    <w:rsid w:val="00E35F70"/>
    <w:rsid w:val="00E454BB"/>
    <w:rsid w:val="00E736F8"/>
    <w:rsid w:val="00E75E0F"/>
    <w:rsid w:val="00FB1E6A"/>
    <w:rsid w:val="00FC0622"/>
    <w:rsid w:val="00FF3A5E"/>
    <w:rsid w:val="03D94F03"/>
    <w:rsid w:val="054B7588"/>
    <w:rsid w:val="0A2E1F3F"/>
    <w:rsid w:val="0A7E1E8A"/>
    <w:rsid w:val="1E21333F"/>
    <w:rsid w:val="215869FA"/>
    <w:rsid w:val="32D92D5B"/>
    <w:rsid w:val="404E1706"/>
    <w:rsid w:val="40D32A5F"/>
    <w:rsid w:val="52FF5DB8"/>
    <w:rsid w:val="55843679"/>
    <w:rsid w:val="572F2497"/>
    <w:rsid w:val="5BA7192B"/>
    <w:rsid w:val="5F127C43"/>
    <w:rsid w:val="5FD56DCA"/>
    <w:rsid w:val="62E7166F"/>
    <w:rsid w:val="65863C4F"/>
    <w:rsid w:val="669C1ABD"/>
    <w:rsid w:val="6D5925C3"/>
    <w:rsid w:val="6D5C057E"/>
    <w:rsid w:val="6E2F4DF6"/>
    <w:rsid w:val="7A876F18"/>
    <w:rsid w:val="7C5A0C64"/>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32"/>
      <w:lang w:val="en-US" w:eastAsia="zh-CN" w:bidi="bo-CN"/>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26"/>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26"/>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qFormat/>
    <w:uiPriority w:val="99"/>
    <w:rPr>
      <w:sz w:val="18"/>
      <w:szCs w:val="26"/>
    </w:rPr>
  </w:style>
  <w:style w:type="character" w:customStyle="1" w:styleId="8">
    <w:name w:val="页脚 Char"/>
    <w:basedOn w:val="5"/>
    <w:link w:val="2"/>
    <w:semiHidden/>
    <w:qFormat/>
    <w:uiPriority w:val="99"/>
    <w:rPr>
      <w:sz w:val="18"/>
      <w:szCs w:val="2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412</Words>
  <Characters>2352</Characters>
  <Lines>19</Lines>
  <Paragraphs>5</Paragraphs>
  <ScaleCrop>false</ScaleCrop>
  <LinksUpToDate>false</LinksUpToDate>
  <CharactersWithSpaces>2759</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2018-04-07T08:30:00Z</dcterms:created>
  <dc:creator>PC</dc:creator>
  <cp:lastModifiedBy>lenovo</cp:lastModifiedBy>
  <dcterms:modified xsi:type="dcterms:W3CDTF">2018-06-11T20:53:42Z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