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人民医院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双湖县人民医院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双湖县人民医院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双湖县人民医院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双湖县人民医院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  <w:lang w:eastAsia="zh-CN"/>
        </w:rPr>
        <w:t>人民医院为</w:t>
      </w:r>
      <w:r>
        <w:rPr>
          <w:rFonts w:hint="eastAsia" w:ascii="仿宋" w:hAnsi="仿宋" w:eastAsia="仿宋" w:cs="仿宋"/>
          <w:sz w:val="32"/>
          <w:lang w:val="en-US" w:eastAsia="zh-CN"/>
        </w:rPr>
        <w:t>1级</w:t>
      </w:r>
      <w:r>
        <w:rPr>
          <w:rFonts w:hint="eastAsia" w:ascii="仿宋" w:hAnsi="仿宋" w:eastAsia="仿宋" w:cs="仿宋"/>
          <w:sz w:val="32"/>
        </w:rPr>
        <w:t>预算部门构成。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、负责组织推进公立医院改革，建立公益性为导向的绩效考核和评价运行机制，建设和谐医患关系，监督落实医疗服务和药品价格政策。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、贯彻落实国家药物政策和国家基本药物制度。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  <w:lang w:eastAsia="zh-CN"/>
        </w:rPr>
        <w:t>人民医院下设为单位构成。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双湖县人民医院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双湖县人民医院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人民医院一般公共预算财政拨款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5900510.1元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5900510.1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5540510.1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260000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100000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人民医院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260000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26000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26000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78000元、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83200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7800元、培训费13000元、维修（护）费13000元、其它商品和服务支出13000元。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260000</w:t>
      </w:r>
      <w:r>
        <w:rPr>
          <w:rFonts w:hint="eastAsia" w:ascii="仿宋" w:hAnsi="仿宋" w:eastAsia="仿宋" w:cs="仿宋"/>
          <w:sz w:val="32"/>
        </w:rPr>
        <w:t>元。其中“三公”经费</w:t>
      </w:r>
      <w:r>
        <w:rPr>
          <w:rFonts w:hint="eastAsia" w:ascii="仿宋" w:hAnsi="仿宋" w:eastAsia="仿宋" w:cs="仿宋"/>
          <w:sz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</w:rPr>
        <w:t>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83200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7800元。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both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1C1C26BA"/>
    <w:rsid w:val="1E21333F"/>
    <w:rsid w:val="215869FA"/>
    <w:rsid w:val="5E6C7BCE"/>
    <w:rsid w:val="5FD56DCA"/>
    <w:rsid w:val="64A843AD"/>
    <w:rsid w:val="6D5925C3"/>
    <w:rsid w:val="6E900A99"/>
    <w:rsid w:val="73E31E7B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2018-06-11T21:00:03Z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