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雅曲乡卫生院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雅曲乡卫生院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雅曲乡卫生院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雅曲乡卫生院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雅曲乡卫生院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卫生院为</w:t>
      </w:r>
      <w:r>
        <w:rPr>
          <w:rFonts w:hint="eastAsia" w:ascii="仿宋" w:hAnsi="仿宋" w:eastAsia="仿宋" w:cs="仿宋"/>
          <w:sz w:val="32"/>
          <w:lang w:val="en-US" w:eastAsia="zh-CN"/>
        </w:rPr>
        <w:t>2级</w:t>
      </w:r>
      <w:r>
        <w:rPr>
          <w:rFonts w:hint="eastAsia" w:ascii="仿宋" w:hAnsi="仿宋" w:eastAsia="仿宋" w:cs="仿宋"/>
          <w:sz w:val="32"/>
        </w:rPr>
        <w:t>预算部门构成。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、负责组织推进公立医院改革，建立公益性为导向的绩效考核和评价运行机制，建设和谐医患关系，监督落实医疗服务和药品价格政策。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、贯彻落实国家药物政策和国家基本药物制度。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贯彻落实国家生育政策和生育管理政策，组织实施促进出生人口性别平衡的政策措施，组织监测计划生育发展动态，监督实施计划生育技术服务管理制度，组织实施优生优育和提高人口素质的政策措施，提出发布计划生育安全预警预报信息建议；监督实施计划生育技术服务管理制度；推动实施计划生育生殖健康促进计划，降低出生缺陷人口数量。</w:t>
      </w:r>
    </w:p>
    <w:p>
      <w:pPr>
        <w:widowControl/>
        <w:spacing w:before="150" w:after="150" w:line="330" w:lineRule="atLeast"/>
        <w:ind w:firstLine="480" w:firstLineChars="15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组织建立计划生育利益导向、计划生育特殊困难家庭扶助和促进计划生育家庭发展等机制。负责协调推进有关部门、群众团体履行计划生育工作相关职责，建立与经济社会发展政策的衔接机制，提出稳定低生育水平政策措施。</w:t>
      </w:r>
    </w:p>
    <w:p>
      <w:pPr>
        <w:widowControl/>
        <w:spacing w:before="150" w:after="150" w:line="330" w:lineRule="atLeast"/>
        <w:ind w:firstLine="480" w:firstLineChars="15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、负责卫生和计划生育信息化建设，参与配合全县人口基础信息库建设。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</w:t>
      </w:r>
      <w:r>
        <w:rPr>
          <w:rFonts w:hint="eastAsia" w:ascii="仿宋" w:hAnsi="仿宋" w:eastAsia="仿宋" w:cs="仿宋"/>
          <w:sz w:val="32"/>
          <w:lang w:eastAsia="zh-CN"/>
        </w:rPr>
        <w:t>卫生院无下设单位</w:t>
      </w:r>
      <w:r>
        <w:rPr>
          <w:rFonts w:hint="eastAsia" w:ascii="仿宋" w:hAnsi="仿宋" w:eastAsia="仿宋" w:cs="仿宋"/>
          <w:color w:val="444444"/>
          <w:sz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雅曲乡卫生院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雅曲乡卫生院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雅曲乡卫生院一般公共预算财政拨款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919289.1元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919289.1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789089.1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100200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雅曲乡卫生院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9000元、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900元、培训费1500元、维修（护）费1500元、其它商品和服务支出1500元。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sz w:val="32"/>
        </w:rPr>
        <w:t>四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元。其中“三公”经费安排：公务用车运行维护费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080E5475"/>
    <w:rsid w:val="130E4B52"/>
    <w:rsid w:val="1B4A1C69"/>
    <w:rsid w:val="1E21333F"/>
    <w:rsid w:val="215869FA"/>
    <w:rsid w:val="27075006"/>
    <w:rsid w:val="2DAC5CF2"/>
    <w:rsid w:val="361B0474"/>
    <w:rsid w:val="42BF129C"/>
    <w:rsid w:val="4B0C68E8"/>
    <w:rsid w:val="4F423281"/>
    <w:rsid w:val="50564DAD"/>
    <w:rsid w:val="513A5FF7"/>
    <w:rsid w:val="59653BE3"/>
    <w:rsid w:val="5FD56DCA"/>
    <w:rsid w:val="64A843AD"/>
    <w:rsid w:val="6532213A"/>
    <w:rsid w:val="66AD0DDF"/>
    <w:rsid w:val="6D5925C3"/>
    <w:rsid w:val="7A5D1C9E"/>
    <w:rsid w:val="7A8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2018-06-11T21:15:51Z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