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人大办2018年度部门预算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6"/>
      </w:pPr>
      <w:r>
        <w:rPr>
          <w:rFonts w:hint="eastAsia"/>
        </w:rPr>
        <w:t>目录</w:t>
      </w:r>
    </w:p>
    <w:p>
      <w:pPr>
        <w:pStyle w:val="6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"_Toc510892792" </w:instrText>
      </w:r>
      <w:r>
        <w:fldChar w:fldCharType="separate"/>
      </w:r>
      <w:r>
        <w:rPr>
          <w:rStyle w:val="9"/>
          <w:rFonts w:hint="eastAsia"/>
          <w:b w:val="0"/>
          <w:sz w:val="32"/>
          <w:szCs w:val="32"/>
        </w:rPr>
        <w:t>第一部分</w:t>
      </w:r>
      <w:r>
        <w:rPr>
          <w:rStyle w:val="9"/>
          <w:b w:val="0"/>
          <w:sz w:val="32"/>
          <w:szCs w:val="32"/>
        </w:rPr>
        <w:t xml:space="preserve"> </w:t>
      </w:r>
      <w:r>
        <w:rPr>
          <w:rStyle w:val="9"/>
          <w:rFonts w:hint="eastAsia"/>
          <w:b w:val="0"/>
          <w:sz w:val="32"/>
          <w:szCs w:val="32"/>
        </w:rPr>
        <w:t>人大办概况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_Toc510892792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7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"_Toc510892793"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_Toc510892793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"_Toc510892794" </w:instrText>
      </w:r>
      <w:r>
        <w:fldChar w:fldCharType="separate"/>
      </w:r>
      <w:r>
        <w:rPr>
          <w:rStyle w:val="9"/>
          <w:rFonts w:hint="eastAsia"/>
          <w:b w:val="0"/>
          <w:sz w:val="32"/>
          <w:szCs w:val="32"/>
        </w:rPr>
        <w:t>第二部分</w:t>
      </w:r>
      <w:r>
        <w:rPr>
          <w:rStyle w:val="9"/>
          <w:b w:val="0"/>
          <w:sz w:val="32"/>
          <w:szCs w:val="32"/>
        </w:rPr>
        <w:t xml:space="preserve"> </w:t>
      </w:r>
      <w:r>
        <w:rPr>
          <w:rStyle w:val="9"/>
          <w:rFonts w:hint="eastAsia"/>
          <w:b w:val="0"/>
          <w:sz w:val="32"/>
          <w:szCs w:val="32"/>
        </w:rPr>
        <w:t>人大办</w:t>
      </w:r>
      <w:r>
        <w:rPr>
          <w:rStyle w:val="9"/>
          <w:b w:val="0"/>
          <w:sz w:val="32"/>
          <w:szCs w:val="32"/>
        </w:rPr>
        <w:t>2018</w:t>
      </w:r>
      <w:r>
        <w:rPr>
          <w:rStyle w:val="9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_Toc510892794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"_Toc510892795"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_Toc510892795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"_Toc510892796"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_Toc510892796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"_Toc510892797"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_Toc510892797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"_Toc510892798"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_Toc510892798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"_Toc510892799"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_Toc510892799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"_Toc510892800"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_Toc510892800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"_Toc510892801"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_Toc510892801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"_Toc510892802" </w:instrText>
      </w:r>
      <w:r>
        <w:fldChar w:fldCharType="separate"/>
      </w:r>
      <w:r>
        <w:rPr>
          <w:rStyle w:val="9"/>
          <w:rFonts w:hint="eastAsia"/>
          <w:b w:val="0"/>
          <w:sz w:val="32"/>
          <w:szCs w:val="32"/>
        </w:rPr>
        <w:t>第三部分</w:t>
      </w:r>
      <w:r>
        <w:rPr>
          <w:rStyle w:val="9"/>
          <w:b w:val="0"/>
          <w:sz w:val="32"/>
          <w:szCs w:val="32"/>
        </w:rPr>
        <w:t xml:space="preserve"> </w:t>
      </w:r>
      <w:r>
        <w:rPr>
          <w:rStyle w:val="9"/>
          <w:rFonts w:hint="eastAsia"/>
          <w:b w:val="0"/>
          <w:sz w:val="32"/>
          <w:szCs w:val="32"/>
        </w:rPr>
        <w:t>人大办</w:t>
      </w:r>
      <w:r>
        <w:rPr>
          <w:rStyle w:val="9"/>
          <w:b w:val="0"/>
          <w:sz w:val="32"/>
          <w:szCs w:val="32"/>
        </w:rPr>
        <w:t>2018</w:t>
      </w:r>
      <w:r>
        <w:rPr>
          <w:rStyle w:val="9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_Toc510892802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"_Toc510892803"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9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_Toc510892803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"_Toc510892804"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9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_Toc510892804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"_Toc510892805"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9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_Toc510892805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"_Toc510892806"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9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9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_Toc510892806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6"/>
        <w:rPr>
          <w:rFonts w:asciiTheme="minorHAnsi" w:hAnsiTheme="minorHAnsi" w:eastAsiaTheme="minorEastAsia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"_Toc510892807" </w:instrText>
      </w:r>
      <w:r>
        <w:fldChar w:fldCharType="separate"/>
      </w:r>
      <w:r>
        <w:rPr>
          <w:rStyle w:val="9"/>
          <w:rFonts w:hint="eastAsia"/>
          <w:b w:val="0"/>
          <w:sz w:val="32"/>
          <w:szCs w:val="32"/>
        </w:rPr>
        <w:t>第四部分</w:t>
      </w:r>
      <w:r>
        <w:rPr>
          <w:rStyle w:val="9"/>
          <w:b w:val="0"/>
          <w:sz w:val="32"/>
          <w:szCs w:val="32"/>
        </w:rPr>
        <w:t xml:space="preserve"> </w:t>
      </w:r>
      <w:r>
        <w:rPr>
          <w:rStyle w:val="9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_Toc510892807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92"/>
      <w:r>
        <w:rPr>
          <w:rFonts w:hint="eastAsia" w:asciiTheme="majorEastAsia" w:hAnsiTheme="majorEastAsia" w:eastAsiaTheme="majorEastAsia"/>
          <w:b/>
          <w:sz w:val="44"/>
          <w:szCs w:val="44"/>
        </w:rPr>
        <w:t>第一部分 人大办概况</w:t>
      </w:r>
      <w:bookmarkEnd w:id="0"/>
    </w:p>
    <w:p>
      <w:pPr>
        <w:pStyle w:val="12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hint="eastAsia" w:ascii="仿宋" w:hAnsi="仿宋" w:eastAsia="仿宋" w:cs="仿宋"/>
          <w:b/>
          <w:sz w:val="32"/>
          <w:szCs w:val="32"/>
        </w:rPr>
      </w:pPr>
      <w:bookmarkStart w:id="1" w:name="_Toc510892793"/>
      <w:r>
        <w:rPr>
          <w:rFonts w:hint="eastAsia" w:ascii="仿宋" w:hAnsi="仿宋" w:eastAsia="仿宋" w:cs="仿宋"/>
          <w:b/>
          <w:sz w:val="32"/>
          <w:szCs w:val="32"/>
        </w:rPr>
        <w:t>部门职责</w:t>
      </w:r>
      <w:bookmarkEnd w:id="1"/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一、在本行政区域内保证宪法、法律、行政法规和上级人民代表大会及其常务委员会决议的遵守和执行。</w:t>
      </w: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二、领导或者主持本级人民代表大会代表的选举。</w:t>
      </w: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三、召集本级人民代表大会会议。</w:t>
      </w: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四、讨论、决定本刑侦区域内政治、经济、教育、科学、文化、卫生、环境和资源保护、民政、民族等工作的重大事项。</w:t>
      </w: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五、根据本级人民政府的建议，决定对本行政区域内的国民经济和社会发展计划，预算的部分变更。</w:t>
      </w: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12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2" w:name="_Toc510892794"/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第二部分 人大办2018年度预算明细表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/>
          <w:b w:val="0"/>
          <w:bCs w:val="0"/>
          <w:sz w:val="32"/>
          <w:szCs w:val="32"/>
        </w:rPr>
        <w:t>（表格详情见附件）</w:t>
      </w:r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3" w:name="_Toc510892795"/>
      <w:bookmarkStart w:id="4" w:name="_Toc510892462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5" w:name="_Toc510892463"/>
      <w:bookmarkStart w:id="6" w:name="_Toc510892796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7" w:name="_Toc510892464"/>
      <w:bookmarkStart w:id="8" w:name="_Toc510892797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9" w:name="_Toc510892798"/>
      <w:bookmarkStart w:id="10" w:name="_Toc510892465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11" w:name="_Toc510892466"/>
      <w:bookmarkStart w:id="12" w:name="_Toc510892799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13" w:name="_Toc510892467"/>
      <w:bookmarkStart w:id="14" w:name="_Toc51089280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15" w:name="_Toc510892468"/>
      <w:bookmarkStart w:id="16" w:name="_Toc510892801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b w:val="0"/>
          <w:bCs w:val="0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802"/>
      <w:r>
        <w:rPr>
          <w:rFonts w:hint="eastAsia" w:asciiTheme="majorEastAsia" w:hAnsiTheme="majorEastAsia" w:eastAsiaTheme="majorEastAsia"/>
          <w:b/>
          <w:sz w:val="44"/>
          <w:szCs w:val="44"/>
        </w:rPr>
        <w:t>第三部分 人大办2018年度部门预算数据分析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803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2018年人大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一年公共预算财政拨款</w:t>
      </w:r>
      <w:r>
        <w:rPr>
          <w:rFonts w:hint="eastAsia" w:ascii="仿宋" w:hAnsi="仿宋" w:eastAsia="仿宋" w:cs="仿宋"/>
          <w:sz w:val="32"/>
          <w:szCs w:val="32"/>
        </w:rPr>
        <w:t>收入为：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3380186.8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804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3380186.8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2754186.8</w:t>
      </w:r>
      <w:r>
        <w:rPr>
          <w:rFonts w:hint="eastAsia" w:ascii="仿宋" w:hAnsi="仿宋" w:eastAsia="仿宋" w:cs="仿宋"/>
          <w:sz w:val="32"/>
          <w:szCs w:val="32"/>
        </w:rPr>
        <w:t>元；商品与服务支出金额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156000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470000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80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1" w:name="_Toc510892806"/>
      <w:r>
        <w:rPr>
          <w:rFonts w:hint="eastAsia" w:ascii="仿宋" w:hAnsi="仿宋" w:eastAsia="仿宋" w:cs="仿宋"/>
          <w:sz w:val="32"/>
          <w:szCs w:val="32"/>
        </w:rPr>
        <w:t>人大办商品和服务支出经费安排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156000</w:t>
      </w:r>
      <w:r>
        <w:rPr>
          <w:rFonts w:hint="eastAsia" w:ascii="仿宋" w:hAnsi="仿宋" w:eastAsia="仿宋" w:cs="仿宋"/>
          <w:sz w:val="32"/>
          <w:szCs w:val="32"/>
        </w:rPr>
        <w:t xml:space="preserve">元。   </w:t>
      </w:r>
    </w:p>
    <w:p>
      <w:pPr>
        <w:tabs>
          <w:tab w:val="left" w:pos="3675"/>
        </w:tabs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46200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4800元、培训费7000元、维修（护）费7000元、其他商品和服务支出12000元。</w:t>
      </w:r>
    </w:p>
    <w:p>
      <w:pPr>
        <w:tabs>
          <w:tab w:val="left" w:pos="3675"/>
        </w:tabs>
        <w:ind w:firstLine="301" w:firstLine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156000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元。其中“三公”经费：公务用车运行维护费为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46200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4800元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22" w:name="_Toc510892807"/>
    </w:p>
    <w:bookmarkEnd w:id="22"/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</w:t>
      </w:r>
      <w:bookmarkStart w:id="23" w:name="_GoBack"/>
      <w:bookmarkEnd w:id="23"/>
      <w:r>
        <w:rPr>
          <w:rFonts w:hint="eastAsia" w:ascii="仿宋" w:hAnsi="仿宋" w:eastAsia="仿宋" w:cs="仿宋"/>
          <w:sz w:val="32"/>
          <w:szCs w:val="32"/>
          <w:lang w:val="zh-CN"/>
        </w:rPr>
        <w:t>道路维护经费。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6348"/>
    <w:multiLevelType w:val="multilevel"/>
    <w:tmpl w:val="797C6348"/>
    <w:lvl w:ilvl="0" w:tentative="0">
      <w:start w:val="1"/>
      <w:numFmt w:val="none"/>
      <w:lvlText w:val="一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0C1D"/>
    <w:rsid w:val="000D2961"/>
    <w:rsid w:val="00127674"/>
    <w:rsid w:val="00162A38"/>
    <w:rsid w:val="00166ED5"/>
    <w:rsid w:val="00182875"/>
    <w:rsid w:val="001A119E"/>
    <w:rsid w:val="001E2E6D"/>
    <w:rsid w:val="002078ED"/>
    <w:rsid w:val="00216430"/>
    <w:rsid w:val="002C07E8"/>
    <w:rsid w:val="00323B43"/>
    <w:rsid w:val="003C009E"/>
    <w:rsid w:val="003D37D8"/>
    <w:rsid w:val="00426133"/>
    <w:rsid w:val="004358AB"/>
    <w:rsid w:val="00503F5F"/>
    <w:rsid w:val="005A4F91"/>
    <w:rsid w:val="00600081"/>
    <w:rsid w:val="00742016"/>
    <w:rsid w:val="007C1CDC"/>
    <w:rsid w:val="00815464"/>
    <w:rsid w:val="00860910"/>
    <w:rsid w:val="008B7726"/>
    <w:rsid w:val="009C1614"/>
    <w:rsid w:val="00A862C7"/>
    <w:rsid w:val="00AC0FEE"/>
    <w:rsid w:val="00B5179A"/>
    <w:rsid w:val="00D011AB"/>
    <w:rsid w:val="00D31D50"/>
    <w:rsid w:val="00E5384D"/>
    <w:rsid w:val="00EA179A"/>
    <w:rsid w:val="00EC1819"/>
    <w:rsid w:val="00ED3F35"/>
    <w:rsid w:val="00EE1D10"/>
    <w:rsid w:val="00F435A2"/>
    <w:rsid w:val="00F52BC7"/>
    <w:rsid w:val="00F65E53"/>
    <w:rsid w:val="09423021"/>
    <w:rsid w:val="0C774F7B"/>
    <w:rsid w:val="25FA3456"/>
    <w:rsid w:val="2D9A1B8A"/>
    <w:rsid w:val="2E1B1E31"/>
    <w:rsid w:val="40617FD2"/>
    <w:rsid w:val="4E507D60"/>
    <w:rsid w:val="4F415D83"/>
    <w:rsid w:val="5B555354"/>
    <w:rsid w:val="5C012275"/>
    <w:rsid w:val="72375662"/>
    <w:rsid w:val="747B02D1"/>
    <w:rsid w:val="7DD63661"/>
    <w:rsid w:val="7EC375D4"/>
    <w:rsid w:val="7F0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4CB53A-2D22-4972-BFA7-7F8BCFC99E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391</Words>
  <Characters>2231</Characters>
  <Lines>18</Lines>
  <Paragraphs>5</Paragraphs>
  <ScaleCrop>false</ScaleCrop>
  <LinksUpToDate>false</LinksUpToDate>
  <CharactersWithSpaces>2617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2018-06-11T20:59:42Z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