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D4" w:rsidRDefault="00932DD4">
      <w:pPr>
        <w:spacing w:line="480" w:lineRule="auto"/>
        <w:jc w:val="center"/>
        <w:rPr>
          <w:b/>
          <w:bCs/>
          <w:sz w:val="44"/>
          <w:szCs w:val="44"/>
        </w:rPr>
      </w:pPr>
    </w:p>
    <w:p w:rsidR="00932DD4" w:rsidRDefault="00932DD4">
      <w:pPr>
        <w:spacing w:line="480" w:lineRule="auto"/>
        <w:jc w:val="center"/>
        <w:rPr>
          <w:b/>
          <w:bCs/>
          <w:sz w:val="44"/>
          <w:szCs w:val="44"/>
        </w:rPr>
      </w:pPr>
    </w:p>
    <w:p w:rsidR="00932DD4" w:rsidRDefault="00932DD4">
      <w:pPr>
        <w:widowControl/>
        <w:jc w:val="center"/>
        <w:rPr>
          <w:rFonts w:asciiTheme="majorEastAsia" w:eastAsiaTheme="majorEastAsia" w:hAnsiTheme="majorEastAsia"/>
          <w:b/>
          <w:bCs/>
          <w:sz w:val="52"/>
          <w:szCs w:val="52"/>
        </w:rPr>
      </w:pPr>
    </w:p>
    <w:p w:rsidR="00932DD4" w:rsidRDefault="001E31E4">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林业局</w:t>
      </w:r>
      <w:r w:rsidR="00720B3D">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932DD4">
      <w:pPr>
        <w:widowControl/>
        <w:jc w:val="center"/>
        <w:rPr>
          <w:rFonts w:asciiTheme="majorEastAsia" w:eastAsiaTheme="majorEastAsia" w:hAnsiTheme="majorEastAsia"/>
          <w:b/>
          <w:bCs/>
          <w:sz w:val="52"/>
          <w:szCs w:val="52"/>
        </w:rPr>
      </w:pPr>
    </w:p>
    <w:p w:rsidR="00932DD4" w:rsidRDefault="00720B3D">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1E31E4">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1E31E4">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1E31E4">
        <w:rPr>
          <w:rFonts w:asciiTheme="majorEastAsia" w:eastAsiaTheme="majorEastAsia" w:hAnsiTheme="majorEastAsia" w:hint="eastAsia"/>
          <w:sz w:val="44"/>
          <w:szCs w:val="44"/>
        </w:rPr>
        <w:t>日</w:t>
      </w:r>
    </w:p>
    <w:p w:rsidR="00932DD4" w:rsidRDefault="00932DD4">
      <w:pPr>
        <w:widowControl/>
        <w:jc w:val="center"/>
        <w:rPr>
          <w:rFonts w:asciiTheme="majorEastAsia" w:eastAsiaTheme="majorEastAsia" w:hAnsiTheme="majorEastAsia"/>
          <w:b/>
          <w:bCs/>
          <w:sz w:val="52"/>
          <w:szCs w:val="52"/>
        </w:rPr>
      </w:pPr>
    </w:p>
    <w:p w:rsidR="00932DD4" w:rsidRDefault="00932DD4">
      <w:pPr>
        <w:spacing w:line="480" w:lineRule="auto"/>
        <w:jc w:val="center"/>
        <w:rPr>
          <w:b/>
          <w:bCs/>
          <w:sz w:val="44"/>
          <w:szCs w:val="44"/>
        </w:rPr>
      </w:pPr>
    </w:p>
    <w:p w:rsidR="00932DD4" w:rsidRDefault="00932DD4">
      <w:pPr>
        <w:spacing w:line="480" w:lineRule="auto"/>
        <w:jc w:val="center"/>
        <w:rPr>
          <w:b/>
          <w:bCs/>
          <w:sz w:val="44"/>
          <w:szCs w:val="44"/>
        </w:rPr>
      </w:pPr>
    </w:p>
    <w:p w:rsidR="00932DD4" w:rsidRDefault="00932DD4">
      <w:pPr>
        <w:spacing w:line="480" w:lineRule="auto"/>
        <w:jc w:val="center"/>
        <w:rPr>
          <w:b/>
          <w:bCs/>
          <w:sz w:val="44"/>
          <w:szCs w:val="44"/>
        </w:rPr>
      </w:pPr>
    </w:p>
    <w:p w:rsidR="00932DD4" w:rsidRDefault="00932DD4">
      <w:pPr>
        <w:spacing w:line="480" w:lineRule="auto"/>
        <w:jc w:val="center"/>
        <w:rPr>
          <w:b/>
          <w:bCs/>
          <w:sz w:val="44"/>
          <w:szCs w:val="44"/>
        </w:rPr>
      </w:pPr>
    </w:p>
    <w:p w:rsidR="00932DD4" w:rsidRDefault="001E31E4">
      <w:pPr>
        <w:spacing w:line="480" w:lineRule="auto"/>
        <w:jc w:val="center"/>
        <w:rPr>
          <w:b/>
          <w:bCs/>
          <w:sz w:val="48"/>
          <w:szCs w:val="48"/>
        </w:rPr>
      </w:pPr>
      <w:r>
        <w:rPr>
          <w:rFonts w:hint="eastAsia"/>
          <w:b/>
          <w:bCs/>
          <w:sz w:val="48"/>
          <w:szCs w:val="48"/>
        </w:rPr>
        <w:lastRenderedPageBreak/>
        <w:t>目录</w:t>
      </w:r>
    </w:p>
    <w:p w:rsidR="00932DD4" w:rsidRDefault="00932DD4">
      <w:pPr>
        <w:spacing w:line="480" w:lineRule="auto"/>
      </w:pPr>
    </w:p>
    <w:p w:rsidR="00932DD4" w:rsidRDefault="001E31E4">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双湖县林业局概况</w:t>
      </w:r>
    </w:p>
    <w:p w:rsidR="00932DD4" w:rsidRDefault="001E31E4">
      <w:pPr>
        <w:spacing w:line="480" w:lineRule="auto"/>
        <w:rPr>
          <w:rFonts w:ascii="仿宋" w:eastAsia="仿宋" w:hAnsi="仿宋" w:cs="仿宋"/>
          <w:sz w:val="32"/>
        </w:rPr>
      </w:pPr>
      <w:r>
        <w:rPr>
          <w:rFonts w:ascii="仿宋" w:eastAsia="仿宋" w:hAnsi="仿宋" w:cs="仿宋" w:hint="eastAsia"/>
          <w:sz w:val="32"/>
        </w:rPr>
        <w:t>一、部门预算单位结构</w:t>
      </w:r>
    </w:p>
    <w:p w:rsidR="00932DD4" w:rsidRDefault="001E31E4">
      <w:pPr>
        <w:spacing w:line="480" w:lineRule="auto"/>
        <w:rPr>
          <w:rFonts w:ascii="仿宋" w:eastAsia="仿宋" w:hAnsi="仿宋" w:cs="仿宋"/>
          <w:sz w:val="32"/>
        </w:rPr>
      </w:pPr>
      <w:r>
        <w:rPr>
          <w:rFonts w:ascii="仿宋" w:eastAsia="仿宋" w:hAnsi="仿宋" w:cs="仿宋" w:hint="eastAsia"/>
          <w:sz w:val="32"/>
        </w:rPr>
        <w:t>二、部门职责和机构设置</w:t>
      </w:r>
    </w:p>
    <w:p w:rsidR="00932DD4" w:rsidRDefault="001E31E4">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双湖县林业局</w:t>
      </w:r>
      <w:r w:rsidR="00720B3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932DD4" w:rsidRDefault="001E31E4">
      <w:pPr>
        <w:spacing w:line="480" w:lineRule="auto"/>
        <w:rPr>
          <w:rFonts w:ascii="仿宋" w:eastAsia="仿宋" w:hAnsi="仿宋" w:cs="仿宋"/>
          <w:sz w:val="32"/>
        </w:rPr>
      </w:pPr>
      <w:r>
        <w:rPr>
          <w:rFonts w:ascii="仿宋" w:eastAsia="仿宋" w:hAnsi="仿宋" w:cs="仿宋" w:hint="eastAsia"/>
          <w:sz w:val="32"/>
        </w:rPr>
        <w:t>一、财政拨款收支总表</w:t>
      </w:r>
    </w:p>
    <w:p w:rsidR="00932DD4" w:rsidRDefault="001E31E4">
      <w:pPr>
        <w:spacing w:line="480" w:lineRule="auto"/>
        <w:rPr>
          <w:rFonts w:ascii="仿宋" w:eastAsia="仿宋" w:hAnsi="仿宋" w:cs="仿宋"/>
          <w:sz w:val="32"/>
        </w:rPr>
      </w:pPr>
      <w:r>
        <w:rPr>
          <w:rFonts w:ascii="仿宋" w:eastAsia="仿宋" w:hAnsi="仿宋" w:cs="仿宋" w:hint="eastAsia"/>
          <w:sz w:val="32"/>
        </w:rPr>
        <w:t>二、一般公共预算支出表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五、政府性基金预算支出表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六、部门收支总表</w:t>
      </w:r>
    </w:p>
    <w:p w:rsidR="00932DD4" w:rsidRDefault="001E31E4">
      <w:pPr>
        <w:spacing w:line="480" w:lineRule="auto"/>
        <w:rPr>
          <w:rFonts w:ascii="仿宋" w:eastAsia="仿宋" w:hAnsi="仿宋" w:cs="仿宋"/>
          <w:sz w:val="32"/>
        </w:rPr>
      </w:pPr>
      <w:r>
        <w:rPr>
          <w:rFonts w:ascii="仿宋" w:eastAsia="仿宋" w:hAnsi="仿宋" w:cs="仿宋" w:hint="eastAsia"/>
          <w:sz w:val="32"/>
        </w:rPr>
        <w:t>七、部门收入总表</w:t>
      </w:r>
    </w:p>
    <w:p w:rsidR="00932DD4" w:rsidRDefault="001E31E4">
      <w:pPr>
        <w:spacing w:line="480" w:lineRule="auto"/>
        <w:rPr>
          <w:rFonts w:ascii="仿宋" w:eastAsia="仿宋" w:hAnsi="仿宋" w:cs="仿宋"/>
          <w:sz w:val="32"/>
        </w:rPr>
      </w:pPr>
      <w:r>
        <w:rPr>
          <w:rFonts w:ascii="仿宋" w:eastAsia="仿宋" w:hAnsi="仿宋" w:cs="仿宋" w:hint="eastAsia"/>
          <w:sz w:val="32"/>
        </w:rPr>
        <w:t>八、部门支出总表</w:t>
      </w:r>
    </w:p>
    <w:p w:rsidR="00932DD4" w:rsidRDefault="001E31E4">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双湖县林业局</w:t>
      </w:r>
      <w:r w:rsidR="00720B3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932DD4" w:rsidRDefault="001E31E4">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932DD4" w:rsidRDefault="00932DD4">
      <w:pPr>
        <w:spacing w:line="360" w:lineRule="auto"/>
        <w:rPr>
          <w:rFonts w:asciiTheme="majorEastAsia" w:eastAsiaTheme="majorEastAsia" w:hAnsiTheme="majorEastAsia"/>
          <w:b/>
          <w:bCs/>
          <w:sz w:val="30"/>
          <w:szCs w:val="30"/>
        </w:rPr>
      </w:pPr>
    </w:p>
    <w:p w:rsidR="00932DD4" w:rsidRDefault="00932DD4">
      <w:pPr>
        <w:spacing w:line="360" w:lineRule="auto"/>
        <w:rPr>
          <w:rFonts w:asciiTheme="majorEastAsia" w:eastAsiaTheme="majorEastAsia" w:hAnsiTheme="majorEastAsia"/>
          <w:b/>
          <w:bCs/>
          <w:sz w:val="30"/>
          <w:szCs w:val="30"/>
        </w:rPr>
      </w:pPr>
    </w:p>
    <w:p w:rsidR="00932DD4" w:rsidRDefault="00932DD4">
      <w:pPr>
        <w:spacing w:line="360" w:lineRule="auto"/>
        <w:rPr>
          <w:rFonts w:asciiTheme="majorEastAsia" w:eastAsiaTheme="majorEastAsia" w:hAnsiTheme="majorEastAsia"/>
          <w:b/>
          <w:bCs/>
          <w:sz w:val="30"/>
          <w:szCs w:val="30"/>
        </w:rPr>
      </w:pPr>
    </w:p>
    <w:p w:rsidR="00932DD4" w:rsidRDefault="00932DD4">
      <w:pPr>
        <w:spacing w:line="360" w:lineRule="auto"/>
        <w:rPr>
          <w:rFonts w:asciiTheme="majorEastAsia" w:eastAsiaTheme="majorEastAsia" w:hAnsiTheme="majorEastAsia"/>
          <w:b/>
          <w:bCs/>
          <w:sz w:val="30"/>
          <w:szCs w:val="30"/>
        </w:rPr>
      </w:pPr>
    </w:p>
    <w:p w:rsidR="00932DD4" w:rsidRDefault="00932DD4">
      <w:pPr>
        <w:spacing w:line="360" w:lineRule="auto"/>
        <w:rPr>
          <w:rFonts w:asciiTheme="majorEastAsia" w:eastAsiaTheme="majorEastAsia" w:hAnsiTheme="majorEastAsia"/>
          <w:b/>
          <w:bCs/>
          <w:sz w:val="30"/>
          <w:szCs w:val="30"/>
        </w:rPr>
      </w:pPr>
    </w:p>
    <w:p w:rsidR="00932DD4" w:rsidRDefault="00932DD4">
      <w:pPr>
        <w:spacing w:line="360" w:lineRule="auto"/>
        <w:rPr>
          <w:rFonts w:asciiTheme="majorEastAsia" w:eastAsiaTheme="majorEastAsia" w:hAnsiTheme="majorEastAsia"/>
          <w:b/>
          <w:bCs/>
          <w:sz w:val="30"/>
          <w:szCs w:val="30"/>
        </w:rPr>
      </w:pPr>
    </w:p>
    <w:p w:rsidR="00932DD4" w:rsidRDefault="001E31E4">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932DD4" w:rsidRDefault="001E31E4">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双湖县林业局概况</w:t>
      </w:r>
    </w:p>
    <w:p w:rsidR="00932DD4" w:rsidRDefault="001E31E4">
      <w:pPr>
        <w:spacing w:line="480" w:lineRule="auto"/>
        <w:rPr>
          <w:rFonts w:ascii="仿宋" w:eastAsia="仿宋" w:hAnsi="仿宋" w:cs="仿宋"/>
          <w:sz w:val="32"/>
        </w:rPr>
      </w:pPr>
      <w:r>
        <w:rPr>
          <w:rFonts w:ascii="仿宋" w:eastAsia="仿宋" w:hAnsi="仿宋" w:cs="仿宋" w:hint="eastAsia"/>
          <w:sz w:val="32"/>
        </w:rPr>
        <w:t>一、部门预算单位构成</w:t>
      </w:r>
    </w:p>
    <w:p w:rsidR="00932DD4" w:rsidRDefault="001E31E4">
      <w:pPr>
        <w:spacing w:line="480" w:lineRule="auto"/>
        <w:rPr>
          <w:rFonts w:ascii="仿宋" w:eastAsia="仿宋" w:hAnsi="仿宋" w:cs="仿宋"/>
          <w:sz w:val="32"/>
        </w:rPr>
      </w:pPr>
      <w:r>
        <w:rPr>
          <w:rFonts w:ascii="仿宋" w:eastAsia="仿宋" w:hAnsi="仿宋" w:cs="仿宋" w:hint="eastAsia"/>
          <w:sz w:val="32"/>
        </w:rPr>
        <w:t xml:space="preserve">    林业局为1级预算部门构成。</w:t>
      </w:r>
    </w:p>
    <w:p w:rsidR="00932DD4" w:rsidRDefault="001E31E4">
      <w:pPr>
        <w:spacing w:line="480" w:lineRule="auto"/>
        <w:rPr>
          <w:rFonts w:ascii="仿宋" w:eastAsia="仿宋" w:hAnsi="仿宋" w:cs="仿宋"/>
          <w:sz w:val="32"/>
        </w:rPr>
      </w:pPr>
      <w:r>
        <w:rPr>
          <w:rFonts w:ascii="仿宋" w:eastAsia="仿宋" w:hAnsi="仿宋" w:cs="仿宋" w:hint="eastAsia"/>
          <w:sz w:val="32"/>
        </w:rPr>
        <w:t>二、部门职责和机构设置</w:t>
      </w:r>
    </w:p>
    <w:p w:rsidR="00932DD4" w:rsidRDefault="001E31E4">
      <w:pPr>
        <w:spacing w:line="480" w:lineRule="auto"/>
        <w:rPr>
          <w:rFonts w:ascii="仿宋" w:eastAsia="仿宋" w:hAnsi="仿宋" w:cs="仿宋"/>
          <w:sz w:val="32"/>
        </w:rPr>
      </w:pPr>
      <w:r>
        <w:rPr>
          <w:rFonts w:ascii="仿宋" w:eastAsia="仿宋" w:hAnsi="仿宋" w:cs="仿宋" w:hint="eastAsia"/>
          <w:sz w:val="32"/>
        </w:rPr>
        <w:t>（一）部门职责</w:t>
      </w:r>
    </w:p>
    <w:p w:rsidR="00932DD4" w:rsidRDefault="001E31E4">
      <w:pPr>
        <w:spacing w:line="480" w:lineRule="auto"/>
        <w:rPr>
          <w:rFonts w:ascii="仿宋" w:eastAsia="仿宋" w:hAnsi="仿宋" w:cs="仿宋"/>
          <w:sz w:val="32"/>
        </w:rPr>
      </w:pPr>
      <w:r>
        <w:rPr>
          <w:rFonts w:ascii="仿宋" w:eastAsia="仿宋" w:hAnsi="仿宋" w:cs="仿宋" w:hint="eastAsia"/>
          <w:sz w:val="32"/>
        </w:rPr>
        <w:t>1、负责组织指导实施全市林业科研生产、科技推广与应用；负责优良品种的引进试验、驯化、栽培管理，林木遗传育种研究等工作；负责林业技术培训、林业学术交流，宏观指导全市林业产业的发展。</w:t>
      </w:r>
    </w:p>
    <w:p w:rsidR="00932DD4" w:rsidRDefault="001E31E4">
      <w:pPr>
        <w:spacing w:line="480" w:lineRule="auto"/>
        <w:rPr>
          <w:rFonts w:ascii="仿宋" w:eastAsia="仿宋" w:hAnsi="仿宋" w:cs="仿宋"/>
          <w:sz w:val="32"/>
        </w:rPr>
      </w:pPr>
      <w:r>
        <w:rPr>
          <w:rFonts w:ascii="仿宋" w:eastAsia="仿宋" w:hAnsi="仿宋" w:cs="仿宋" w:hint="eastAsia"/>
          <w:sz w:val="32"/>
        </w:rPr>
        <w:t>2、负责承担泽当城市规划区内具体城镇园林绿化建设、管理和维护工作；承担林木良种引进驯化与培育工作；负责全市森林生态、森林培育、林木遗传育种、经济林及园林绿化、森林资源开发利用等领域的研究和培训工作；</w:t>
      </w:r>
    </w:p>
    <w:p w:rsidR="00932DD4" w:rsidRDefault="00932DD4">
      <w:pPr>
        <w:spacing w:line="480" w:lineRule="auto"/>
        <w:rPr>
          <w:rFonts w:ascii="仿宋" w:eastAsia="仿宋" w:hAnsi="仿宋" w:cs="仿宋"/>
          <w:sz w:val="32"/>
        </w:rPr>
      </w:pPr>
    </w:p>
    <w:p w:rsidR="00932DD4" w:rsidRDefault="001E31E4">
      <w:pPr>
        <w:spacing w:line="480" w:lineRule="auto"/>
        <w:rPr>
          <w:rFonts w:ascii="仿宋" w:eastAsia="仿宋" w:hAnsi="仿宋" w:cs="仿宋"/>
          <w:sz w:val="32"/>
        </w:rPr>
      </w:pPr>
      <w:r>
        <w:rPr>
          <w:rFonts w:ascii="仿宋" w:eastAsia="仿宋" w:hAnsi="仿宋" w:cs="仿宋" w:hint="eastAsia"/>
          <w:sz w:val="32"/>
        </w:rPr>
        <w:t>（二）部门机构设置</w:t>
      </w:r>
    </w:p>
    <w:p w:rsidR="00932DD4" w:rsidRDefault="001E31E4">
      <w:pPr>
        <w:spacing w:line="480" w:lineRule="auto"/>
        <w:rPr>
          <w:rFonts w:ascii="仿宋" w:eastAsia="仿宋" w:hAnsi="仿宋" w:cs="仿宋"/>
          <w:sz w:val="32"/>
        </w:rPr>
      </w:pPr>
      <w:r>
        <w:rPr>
          <w:rFonts w:ascii="仿宋" w:eastAsia="仿宋" w:hAnsi="仿宋" w:cs="仿宋" w:hint="eastAsia"/>
          <w:sz w:val="32"/>
        </w:rPr>
        <w:t xml:space="preserve">     部门</w:t>
      </w:r>
      <w:proofErr w:type="gramStart"/>
      <w:r>
        <w:rPr>
          <w:rFonts w:ascii="仿宋" w:eastAsia="仿宋" w:hAnsi="仿宋" w:cs="仿宋" w:hint="eastAsia"/>
          <w:sz w:val="32"/>
        </w:rPr>
        <w:t>内设内设</w:t>
      </w:r>
      <w:proofErr w:type="gramEnd"/>
      <w:r>
        <w:rPr>
          <w:rFonts w:ascii="仿宋" w:eastAsia="仿宋" w:hAnsi="仿宋" w:cs="仿宋" w:hint="eastAsia"/>
          <w:sz w:val="32"/>
        </w:rPr>
        <w:t>林业局、森林公安和林管站构成。</w:t>
      </w:r>
    </w:p>
    <w:p w:rsidR="00932DD4" w:rsidRDefault="00932DD4">
      <w:pPr>
        <w:spacing w:line="480" w:lineRule="auto"/>
        <w:jc w:val="center"/>
        <w:rPr>
          <w:rFonts w:asciiTheme="majorEastAsia" w:eastAsiaTheme="majorEastAsia" w:hAnsiTheme="majorEastAsia"/>
          <w:b/>
          <w:bCs/>
          <w:sz w:val="44"/>
          <w:szCs w:val="44"/>
        </w:rPr>
      </w:pPr>
      <w:bookmarkStart w:id="0" w:name="_Toc510892744"/>
    </w:p>
    <w:p w:rsidR="00932DD4" w:rsidRDefault="00932DD4">
      <w:pPr>
        <w:spacing w:line="480" w:lineRule="auto"/>
        <w:jc w:val="center"/>
        <w:rPr>
          <w:rFonts w:asciiTheme="majorEastAsia" w:eastAsiaTheme="majorEastAsia" w:hAnsiTheme="majorEastAsia"/>
          <w:b/>
          <w:bCs/>
          <w:sz w:val="44"/>
          <w:szCs w:val="44"/>
        </w:rPr>
      </w:pPr>
    </w:p>
    <w:p w:rsidR="00932DD4" w:rsidRDefault="00932DD4">
      <w:pPr>
        <w:spacing w:line="480" w:lineRule="auto"/>
        <w:jc w:val="center"/>
        <w:rPr>
          <w:rFonts w:asciiTheme="majorEastAsia" w:eastAsiaTheme="majorEastAsia" w:hAnsiTheme="majorEastAsia"/>
          <w:b/>
          <w:bCs/>
          <w:sz w:val="44"/>
          <w:szCs w:val="44"/>
        </w:rPr>
      </w:pPr>
    </w:p>
    <w:p w:rsidR="00932DD4" w:rsidRDefault="00932DD4">
      <w:pPr>
        <w:spacing w:line="480" w:lineRule="auto"/>
        <w:jc w:val="center"/>
        <w:rPr>
          <w:rFonts w:asciiTheme="majorEastAsia" w:eastAsiaTheme="majorEastAsia" w:hAnsiTheme="majorEastAsia"/>
          <w:b/>
          <w:bCs/>
          <w:sz w:val="44"/>
          <w:szCs w:val="44"/>
        </w:rPr>
      </w:pPr>
    </w:p>
    <w:p w:rsidR="00932DD4" w:rsidRDefault="00932DD4">
      <w:pPr>
        <w:spacing w:line="480" w:lineRule="auto"/>
        <w:jc w:val="center"/>
        <w:rPr>
          <w:rFonts w:asciiTheme="majorEastAsia" w:eastAsiaTheme="majorEastAsia" w:hAnsiTheme="majorEastAsia"/>
          <w:b/>
          <w:bCs/>
          <w:sz w:val="44"/>
          <w:szCs w:val="44"/>
        </w:rPr>
      </w:pPr>
    </w:p>
    <w:p w:rsidR="00932DD4" w:rsidRDefault="001E31E4">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第二部分</w:t>
      </w:r>
    </w:p>
    <w:p w:rsidR="00932DD4" w:rsidRDefault="001E31E4">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双湖县林业局</w:t>
      </w:r>
      <w:r w:rsidR="00720B3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932DD4" w:rsidRDefault="001E31E4">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932DD4" w:rsidRDefault="001E31E4">
      <w:pPr>
        <w:spacing w:line="480" w:lineRule="auto"/>
        <w:rPr>
          <w:rFonts w:ascii="仿宋" w:eastAsia="仿宋" w:hAnsi="仿宋" w:cs="仿宋"/>
          <w:sz w:val="32"/>
        </w:rPr>
      </w:pPr>
      <w:r>
        <w:rPr>
          <w:rFonts w:ascii="仿宋" w:eastAsia="仿宋" w:hAnsi="仿宋" w:cs="仿宋" w:hint="eastAsia"/>
          <w:sz w:val="32"/>
        </w:rPr>
        <w:t>一、财政拨款收支总表</w:t>
      </w:r>
    </w:p>
    <w:p w:rsidR="00932DD4" w:rsidRDefault="001E31E4">
      <w:pPr>
        <w:spacing w:line="480" w:lineRule="auto"/>
        <w:rPr>
          <w:rFonts w:ascii="仿宋" w:eastAsia="仿宋" w:hAnsi="仿宋" w:cs="仿宋"/>
          <w:sz w:val="32"/>
        </w:rPr>
      </w:pPr>
      <w:r>
        <w:rPr>
          <w:rFonts w:ascii="仿宋" w:eastAsia="仿宋" w:hAnsi="仿宋" w:cs="仿宋" w:hint="eastAsia"/>
          <w:sz w:val="32"/>
        </w:rPr>
        <w:t>二、一般公共预算支出表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五、政府性基金预算支出表</w:t>
      </w:r>
    </w:p>
    <w:p w:rsidR="00932DD4" w:rsidRDefault="001E31E4">
      <w:pPr>
        <w:spacing w:line="480" w:lineRule="auto"/>
        <w:rPr>
          <w:rFonts w:ascii="仿宋" w:eastAsia="仿宋" w:hAnsi="仿宋" w:cs="仿宋"/>
          <w:sz w:val="32"/>
        </w:rPr>
      </w:pPr>
      <w:r>
        <w:rPr>
          <w:rFonts w:ascii="仿宋" w:eastAsia="仿宋" w:hAnsi="仿宋" w:cs="仿宋" w:hint="eastAsia"/>
          <w:sz w:val="32"/>
        </w:rPr>
        <w:t>六、部门收支总表</w:t>
      </w:r>
    </w:p>
    <w:p w:rsidR="00932DD4" w:rsidRDefault="001E31E4">
      <w:pPr>
        <w:spacing w:line="480" w:lineRule="auto"/>
        <w:rPr>
          <w:rFonts w:ascii="仿宋" w:eastAsia="仿宋" w:hAnsi="仿宋" w:cs="仿宋"/>
          <w:sz w:val="32"/>
        </w:rPr>
      </w:pPr>
      <w:r>
        <w:rPr>
          <w:rFonts w:ascii="仿宋" w:eastAsia="仿宋" w:hAnsi="仿宋" w:cs="仿宋" w:hint="eastAsia"/>
          <w:sz w:val="32"/>
        </w:rPr>
        <w:t>七、部门收入总表</w:t>
      </w:r>
    </w:p>
    <w:p w:rsidR="00932DD4" w:rsidRDefault="001E31E4">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932DD4">
      <w:pPr>
        <w:spacing w:line="360" w:lineRule="auto"/>
        <w:jc w:val="center"/>
        <w:rPr>
          <w:rFonts w:asciiTheme="majorEastAsia" w:eastAsiaTheme="majorEastAsia" w:hAnsiTheme="majorEastAsia"/>
          <w:b/>
          <w:bCs/>
          <w:sz w:val="32"/>
        </w:rPr>
      </w:pPr>
    </w:p>
    <w:p w:rsidR="00932DD4" w:rsidRDefault="001E31E4">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932DD4" w:rsidRDefault="001E31E4">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双湖县林业局</w:t>
      </w:r>
      <w:r w:rsidR="00720B3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932DD4" w:rsidRDefault="001E31E4">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720B3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932DD4" w:rsidRDefault="00720B3D">
      <w:pPr>
        <w:spacing w:line="360" w:lineRule="auto"/>
        <w:ind w:firstLine="600"/>
        <w:rPr>
          <w:rFonts w:ascii="仿宋" w:eastAsia="仿宋" w:hAnsi="仿宋" w:cs="仿宋"/>
          <w:sz w:val="32"/>
        </w:rPr>
      </w:pPr>
      <w:r>
        <w:rPr>
          <w:rFonts w:ascii="仿宋" w:eastAsia="仿宋" w:hAnsi="仿宋" w:cs="仿宋" w:hint="eastAsia"/>
          <w:sz w:val="32"/>
        </w:rPr>
        <w:t>2019</w:t>
      </w:r>
      <w:r w:rsidR="001E31E4">
        <w:rPr>
          <w:rFonts w:ascii="仿宋" w:eastAsia="仿宋" w:hAnsi="仿宋" w:cs="仿宋" w:hint="eastAsia"/>
          <w:sz w:val="32"/>
        </w:rPr>
        <w:t>年林业局一般公共预算财政拨款收入为：</w:t>
      </w:r>
      <w:r w:rsidR="00114291">
        <w:rPr>
          <w:rFonts w:ascii="仿宋" w:eastAsia="仿宋" w:hAnsi="仿宋" w:cs="仿宋" w:hint="eastAsia"/>
          <w:sz w:val="32"/>
        </w:rPr>
        <w:t>350.77</w:t>
      </w:r>
      <w:r>
        <w:rPr>
          <w:rFonts w:ascii="仿宋" w:eastAsia="仿宋" w:hAnsi="仿宋" w:cs="仿宋" w:hint="eastAsia"/>
          <w:sz w:val="32"/>
        </w:rPr>
        <w:t>万元</w:t>
      </w:r>
      <w:r w:rsidR="001E31E4">
        <w:rPr>
          <w:rFonts w:ascii="仿宋" w:eastAsia="仿宋" w:hAnsi="仿宋" w:cs="仿宋" w:hint="eastAsia"/>
          <w:sz w:val="32"/>
        </w:rPr>
        <w:t xml:space="preserve">。 </w:t>
      </w:r>
    </w:p>
    <w:p w:rsidR="00932DD4" w:rsidRDefault="001E31E4">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720B3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932DD4" w:rsidRDefault="00720B3D">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1E31E4">
        <w:rPr>
          <w:rFonts w:ascii="仿宋" w:eastAsia="仿宋" w:hAnsi="仿宋" w:cs="仿宋" w:hint="eastAsia"/>
          <w:sz w:val="32"/>
        </w:rPr>
        <w:t>年拨款总额为3</w:t>
      </w:r>
      <w:r w:rsidR="00114291">
        <w:rPr>
          <w:rFonts w:ascii="仿宋" w:eastAsia="仿宋" w:hAnsi="仿宋" w:cs="仿宋" w:hint="eastAsia"/>
          <w:sz w:val="32"/>
        </w:rPr>
        <w:t>50.77</w:t>
      </w:r>
      <w:r>
        <w:rPr>
          <w:rFonts w:ascii="仿宋" w:eastAsia="仿宋" w:hAnsi="仿宋" w:cs="仿宋" w:hint="eastAsia"/>
          <w:sz w:val="32"/>
        </w:rPr>
        <w:t>万元</w:t>
      </w:r>
      <w:r w:rsidR="001E31E4">
        <w:rPr>
          <w:rFonts w:ascii="仿宋" w:eastAsia="仿宋" w:hAnsi="仿宋" w:cs="仿宋" w:hint="eastAsia"/>
          <w:sz w:val="32"/>
        </w:rPr>
        <w:t>。其中，工资福利支出金额</w:t>
      </w:r>
      <w:r w:rsidR="00114291">
        <w:rPr>
          <w:rFonts w:ascii="仿宋" w:eastAsia="仿宋" w:hAnsi="仿宋" w:cs="仿宋" w:hint="eastAsia"/>
          <w:sz w:val="32"/>
        </w:rPr>
        <w:t>311.42</w:t>
      </w:r>
      <w:r>
        <w:rPr>
          <w:rFonts w:ascii="仿宋" w:eastAsia="仿宋" w:hAnsi="仿宋" w:cs="仿宋" w:hint="eastAsia"/>
          <w:sz w:val="32"/>
        </w:rPr>
        <w:t>万元</w:t>
      </w:r>
      <w:r w:rsidR="001E31E4">
        <w:rPr>
          <w:rFonts w:ascii="仿宋" w:eastAsia="仿宋" w:hAnsi="仿宋" w:cs="仿宋" w:hint="eastAsia"/>
          <w:sz w:val="32"/>
        </w:rPr>
        <w:t>；商品与服务支出金额</w:t>
      </w:r>
      <w:r w:rsidR="00114291">
        <w:rPr>
          <w:rFonts w:ascii="仿宋" w:eastAsia="仿宋" w:hAnsi="仿宋" w:cs="仿宋" w:hint="eastAsia"/>
          <w:sz w:val="32"/>
        </w:rPr>
        <w:t>19.35</w:t>
      </w:r>
      <w:r>
        <w:rPr>
          <w:rFonts w:ascii="仿宋" w:eastAsia="仿宋" w:hAnsi="仿宋" w:cs="仿宋" w:hint="eastAsia"/>
          <w:sz w:val="32"/>
        </w:rPr>
        <w:t>万元</w:t>
      </w:r>
      <w:r w:rsidR="001E31E4">
        <w:rPr>
          <w:rFonts w:ascii="仿宋" w:eastAsia="仿宋" w:hAnsi="仿宋" w:cs="仿宋" w:hint="eastAsia"/>
          <w:sz w:val="32"/>
        </w:rPr>
        <w:t>；行政事业性项目支出</w:t>
      </w:r>
      <w:r w:rsidR="00114291">
        <w:rPr>
          <w:rFonts w:ascii="仿宋" w:eastAsia="仿宋" w:hAnsi="仿宋" w:cs="仿宋" w:hint="eastAsia"/>
          <w:sz w:val="32"/>
        </w:rPr>
        <w:t>20</w:t>
      </w:r>
      <w:r>
        <w:rPr>
          <w:rFonts w:ascii="仿宋" w:eastAsia="仿宋" w:hAnsi="仿宋" w:cs="仿宋" w:hint="eastAsia"/>
          <w:sz w:val="32"/>
        </w:rPr>
        <w:t>万元</w:t>
      </w:r>
      <w:r w:rsidR="001E31E4">
        <w:rPr>
          <w:rFonts w:ascii="仿宋" w:eastAsia="仿宋" w:hAnsi="仿宋" w:cs="仿宋" w:hint="eastAsia"/>
          <w:sz w:val="32"/>
        </w:rPr>
        <w:t>。</w:t>
      </w:r>
    </w:p>
    <w:p w:rsidR="00932DD4" w:rsidRDefault="001E31E4">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720B3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932DD4" w:rsidRDefault="001E31E4">
      <w:pPr>
        <w:tabs>
          <w:tab w:val="left" w:pos="3675"/>
        </w:tabs>
        <w:ind w:firstLineChars="200" w:firstLine="640"/>
        <w:rPr>
          <w:rFonts w:ascii="仿宋" w:eastAsia="仿宋" w:hAnsi="仿宋" w:cs="仿宋"/>
          <w:sz w:val="32"/>
        </w:rPr>
      </w:pPr>
      <w:r>
        <w:rPr>
          <w:rFonts w:ascii="仿宋" w:eastAsia="仿宋" w:hAnsi="仿宋" w:cs="仿宋" w:hint="eastAsia"/>
          <w:sz w:val="32"/>
        </w:rPr>
        <w:t>林业局商品和服务支出经费安排情况如下：</w:t>
      </w:r>
      <w:r w:rsidR="00114291">
        <w:rPr>
          <w:rFonts w:ascii="仿宋" w:eastAsia="仿宋" w:hAnsi="仿宋" w:cs="仿宋" w:hint="eastAsia"/>
          <w:sz w:val="32"/>
        </w:rPr>
        <w:t>20</w:t>
      </w:r>
      <w:r w:rsidR="00720B3D">
        <w:rPr>
          <w:rFonts w:ascii="仿宋" w:eastAsia="仿宋" w:hAnsi="仿宋" w:cs="仿宋" w:hint="eastAsia"/>
          <w:sz w:val="32"/>
        </w:rPr>
        <w:t>万元</w:t>
      </w:r>
      <w:r>
        <w:rPr>
          <w:rFonts w:ascii="仿宋" w:eastAsia="仿宋" w:hAnsi="仿宋" w:cs="仿宋" w:hint="eastAsia"/>
          <w:sz w:val="32"/>
        </w:rPr>
        <w:t xml:space="preserve">。   </w:t>
      </w:r>
    </w:p>
    <w:p w:rsidR="00932DD4" w:rsidRDefault="001E31E4">
      <w:pPr>
        <w:tabs>
          <w:tab w:val="left" w:pos="3675"/>
        </w:tabs>
        <w:spacing w:line="360" w:lineRule="auto"/>
        <w:rPr>
          <w:rFonts w:ascii="仿宋" w:eastAsia="仿宋" w:hAnsi="仿宋" w:cs="仿宋"/>
          <w:sz w:val="32"/>
        </w:rPr>
      </w:pPr>
      <w:r>
        <w:rPr>
          <w:rFonts w:ascii="仿宋" w:eastAsia="仿宋" w:hAnsi="仿宋" w:cs="仿宋" w:hint="eastAsia"/>
          <w:sz w:val="32"/>
        </w:rPr>
        <w:t>其中：办公费</w:t>
      </w:r>
      <w:r w:rsidR="00114291">
        <w:rPr>
          <w:rFonts w:ascii="仿宋" w:eastAsia="仿宋" w:hAnsi="仿宋" w:cs="仿宋" w:hint="eastAsia"/>
          <w:sz w:val="32"/>
        </w:rPr>
        <w:t>2.8</w:t>
      </w:r>
      <w:r w:rsidR="00720B3D">
        <w:rPr>
          <w:rFonts w:ascii="仿宋" w:eastAsia="仿宋" w:hAnsi="仿宋" w:cs="仿宋" w:hint="eastAsia"/>
          <w:sz w:val="32"/>
        </w:rPr>
        <w:t>万元</w:t>
      </w:r>
      <w:r>
        <w:rPr>
          <w:rFonts w:ascii="仿宋" w:eastAsia="仿宋" w:hAnsi="仿宋" w:cs="仿宋" w:hint="eastAsia"/>
          <w:sz w:val="32"/>
        </w:rPr>
        <w:t>、印刷费</w:t>
      </w:r>
      <w:r w:rsidR="00114291">
        <w:rPr>
          <w:rFonts w:ascii="仿宋" w:eastAsia="仿宋" w:hAnsi="仿宋" w:cs="仿宋" w:hint="eastAsia"/>
          <w:sz w:val="32"/>
        </w:rPr>
        <w:t>1.4</w:t>
      </w:r>
      <w:r w:rsidR="00720B3D">
        <w:rPr>
          <w:rFonts w:ascii="仿宋" w:eastAsia="仿宋" w:hAnsi="仿宋" w:cs="仿宋" w:hint="eastAsia"/>
          <w:sz w:val="32"/>
        </w:rPr>
        <w:t>万元</w:t>
      </w:r>
      <w:r>
        <w:rPr>
          <w:rFonts w:ascii="仿宋" w:eastAsia="仿宋" w:hAnsi="仿宋" w:cs="仿宋" w:hint="eastAsia"/>
          <w:sz w:val="32"/>
        </w:rPr>
        <w:t>、差旅费</w:t>
      </w:r>
      <w:r w:rsidR="00114291">
        <w:rPr>
          <w:rFonts w:ascii="仿宋" w:eastAsia="仿宋" w:hAnsi="仿宋" w:cs="仿宋" w:hint="eastAsia"/>
          <w:sz w:val="32"/>
        </w:rPr>
        <w:t>5.8</w:t>
      </w:r>
      <w:r w:rsidR="00720B3D">
        <w:rPr>
          <w:rFonts w:ascii="仿宋" w:eastAsia="仿宋" w:hAnsi="仿宋" w:cs="仿宋" w:hint="eastAsia"/>
          <w:sz w:val="32"/>
        </w:rPr>
        <w:t>万元</w:t>
      </w:r>
      <w:r>
        <w:rPr>
          <w:rFonts w:ascii="仿宋" w:eastAsia="仿宋" w:hAnsi="仿宋" w:cs="仿宋" w:hint="eastAsia"/>
          <w:sz w:val="32"/>
        </w:rPr>
        <w:t>、</w:t>
      </w:r>
      <w:r w:rsidR="00114291">
        <w:rPr>
          <w:rFonts w:ascii="仿宋" w:eastAsia="仿宋" w:hAnsi="仿宋" w:cs="仿宋" w:hint="eastAsia"/>
          <w:sz w:val="32"/>
        </w:rPr>
        <w:t>其他</w:t>
      </w:r>
      <w:r w:rsidR="00114291">
        <w:rPr>
          <w:rFonts w:ascii="仿宋" w:eastAsia="仿宋" w:hAnsi="仿宋" w:cs="仿宋"/>
          <w:sz w:val="32"/>
        </w:rPr>
        <w:t>交通</w:t>
      </w:r>
      <w:r>
        <w:rPr>
          <w:rFonts w:ascii="仿宋" w:eastAsia="仿宋" w:hAnsi="仿宋" w:cs="仿宋" w:hint="eastAsia"/>
          <w:sz w:val="32"/>
        </w:rPr>
        <w:t>费</w:t>
      </w:r>
      <w:r w:rsidR="00114291">
        <w:rPr>
          <w:rFonts w:ascii="仿宋" w:eastAsia="仿宋" w:hAnsi="仿宋" w:cs="仿宋" w:hint="eastAsia"/>
          <w:sz w:val="32"/>
        </w:rPr>
        <w:t>5.96</w:t>
      </w:r>
      <w:r w:rsidR="00720B3D">
        <w:rPr>
          <w:rFonts w:ascii="仿宋" w:eastAsia="仿宋" w:hAnsi="仿宋" w:cs="仿宋" w:hint="eastAsia"/>
          <w:sz w:val="32"/>
        </w:rPr>
        <w:t>万元</w:t>
      </w:r>
      <w:r>
        <w:rPr>
          <w:rFonts w:ascii="仿宋" w:eastAsia="仿宋" w:hAnsi="仿宋" w:cs="仿宋" w:hint="eastAsia"/>
          <w:sz w:val="32"/>
        </w:rPr>
        <w:t>、会议费</w:t>
      </w:r>
      <w:r w:rsidR="00114291">
        <w:rPr>
          <w:rFonts w:ascii="仿宋" w:eastAsia="仿宋" w:hAnsi="仿宋" w:cs="仿宋" w:hint="eastAsia"/>
          <w:sz w:val="32"/>
        </w:rPr>
        <w:t>0.44</w:t>
      </w:r>
      <w:r w:rsidR="00720B3D">
        <w:rPr>
          <w:rFonts w:ascii="仿宋" w:eastAsia="仿宋" w:hAnsi="仿宋" w:cs="仿宋" w:hint="eastAsia"/>
          <w:sz w:val="32"/>
        </w:rPr>
        <w:t>万元</w:t>
      </w:r>
      <w:r>
        <w:rPr>
          <w:rFonts w:ascii="仿宋" w:eastAsia="仿宋" w:hAnsi="仿宋" w:cs="仿宋" w:hint="eastAsia"/>
          <w:sz w:val="32"/>
        </w:rPr>
        <w:t>、培训费</w:t>
      </w:r>
      <w:r w:rsidR="00114291">
        <w:rPr>
          <w:rFonts w:ascii="仿宋" w:eastAsia="仿宋" w:hAnsi="仿宋" w:cs="仿宋" w:hint="eastAsia"/>
          <w:sz w:val="32"/>
        </w:rPr>
        <w:t>0.75</w:t>
      </w:r>
      <w:r w:rsidR="00720B3D">
        <w:rPr>
          <w:rFonts w:ascii="仿宋" w:eastAsia="仿宋" w:hAnsi="仿宋" w:cs="仿宋" w:hint="eastAsia"/>
          <w:sz w:val="32"/>
        </w:rPr>
        <w:t>万元</w:t>
      </w:r>
      <w:r>
        <w:rPr>
          <w:rFonts w:ascii="仿宋" w:eastAsia="仿宋" w:hAnsi="仿宋" w:cs="仿宋" w:hint="eastAsia"/>
          <w:sz w:val="32"/>
        </w:rPr>
        <w:t>、维修（护）费</w:t>
      </w:r>
      <w:r w:rsidR="00114291">
        <w:rPr>
          <w:rFonts w:ascii="仿宋" w:eastAsia="仿宋" w:hAnsi="仿宋" w:cs="仿宋" w:hint="eastAsia"/>
          <w:sz w:val="32"/>
        </w:rPr>
        <w:t>0.75</w:t>
      </w:r>
      <w:r w:rsidR="00720B3D">
        <w:rPr>
          <w:rFonts w:ascii="仿宋" w:eastAsia="仿宋" w:hAnsi="仿宋" w:cs="仿宋" w:hint="eastAsia"/>
          <w:sz w:val="32"/>
        </w:rPr>
        <w:t>万元</w:t>
      </w:r>
      <w:r>
        <w:rPr>
          <w:rFonts w:ascii="仿宋" w:eastAsia="仿宋" w:hAnsi="仿宋" w:cs="仿宋" w:hint="eastAsia"/>
          <w:sz w:val="32"/>
        </w:rPr>
        <w:t>、其他商品和服务支出</w:t>
      </w:r>
      <w:r w:rsidR="00114291">
        <w:rPr>
          <w:rFonts w:ascii="仿宋" w:eastAsia="仿宋" w:hAnsi="仿宋" w:cs="仿宋" w:hint="eastAsia"/>
          <w:sz w:val="32"/>
        </w:rPr>
        <w:t>1.45</w:t>
      </w:r>
      <w:r w:rsidR="00720B3D">
        <w:rPr>
          <w:rFonts w:ascii="仿宋" w:eastAsia="仿宋" w:hAnsi="仿宋" w:cs="仿宋" w:hint="eastAsia"/>
          <w:sz w:val="32"/>
        </w:rPr>
        <w:t>万元</w:t>
      </w:r>
      <w:r>
        <w:rPr>
          <w:rFonts w:ascii="仿宋" w:eastAsia="仿宋" w:hAnsi="仿宋" w:cs="仿宋" w:hint="eastAsia"/>
          <w:sz w:val="32"/>
        </w:rPr>
        <w:t>。</w:t>
      </w:r>
    </w:p>
    <w:p w:rsidR="00932DD4" w:rsidRDefault="001E31E4">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720B3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932DD4" w:rsidRDefault="001E31E4">
      <w:pPr>
        <w:tabs>
          <w:tab w:val="left" w:pos="3675"/>
        </w:tabs>
        <w:spacing w:line="360" w:lineRule="auto"/>
        <w:ind w:firstLineChars="100" w:firstLine="320"/>
        <w:rPr>
          <w:rFonts w:ascii="仿宋" w:eastAsia="仿宋" w:hAnsi="仿宋" w:cs="仿宋"/>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w:t>
      </w:r>
      <w:r w:rsidR="00720B3D">
        <w:rPr>
          <w:rFonts w:ascii="仿宋" w:eastAsia="仿宋" w:hAnsi="仿宋" w:cs="仿宋" w:hint="eastAsia"/>
          <w:sz w:val="32"/>
        </w:rPr>
        <w:t>2019</w:t>
      </w:r>
      <w:r>
        <w:rPr>
          <w:rFonts w:ascii="仿宋" w:eastAsia="仿宋" w:hAnsi="仿宋" w:cs="仿宋" w:hint="eastAsia"/>
          <w:sz w:val="32"/>
        </w:rPr>
        <w:t>年一般公共预算拨款中商品和服务支出预算为</w:t>
      </w:r>
      <w:r w:rsidR="00114291">
        <w:rPr>
          <w:rFonts w:ascii="仿宋" w:eastAsia="仿宋" w:hAnsi="仿宋" w:cs="仿宋" w:hint="eastAsia"/>
          <w:sz w:val="32"/>
        </w:rPr>
        <w:t>20</w:t>
      </w:r>
      <w:r w:rsidR="00720B3D">
        <w:rPr>
          <w:rFonts w:ascii="仿宋" w:eastAsia="仿宋" w:hAnsi="仿宋" w:cs="仿宋" w:hint="eastAsia"/>
          <w:sz w:val="32"/>
        </w:rPr>
        <w:t>万元</w:t>
      </w:r>
      <w:r>
        <w:rPr>
          <w:rFonts w:ascii="仿宋" w:eastAsia="仿宋" w:hAnsi="仿宋" w:cs="仿宋" w:hint="eastAsia"/>
          <w:sz w:val="32"/>
        </w:rPr>
        <w:t>。其中“三公”经费有：</w:t>
      </w:r>
      <w:r w:rsidR="00114291">
        <w:rPr>
          <w:rFonts w:ascii="仿宋" w:eastAsia="仿宋" w:hAnsi="仿宋" w:cs="仿宋" w:hint="eastAsia"/>
          <w:sz w:val="32"/>
        </w:rPr>
        <w:t>其他</w:t>
      </w:r>
      <w:r w:rsidR="00114291">
        <w:rPr>
          <w:rFonts w:ascii="仿宋" w:eastAsia="仿宋" w:hAnsi="仿宋" w:cs="仿宋"/>
          <w:sz w:val="32"/>
        </w:rPr>
        <w:t>交通</w:t>
      </w:r>
      <w:r w:rsidR="00114291">
        <w:rPr>
          <w:rFonts w:ascii="仿宋" w:eastAsia="仿宋" w:hAnsi="仿宋" w:cs="仿宋" w:hint="eastAsia"/>
          <w:sz w:val="32"/>
        </w:rPr>
        <w:t>费5.96万元、会议费0.44万元、培训费0.75万元</w:t>
      </w:r>
      <w:r w:rsidR="00D92F23">
        <w:rPr>
          <w:rFonts w:ascii="仿宋" w:eastAsia="仿宋" w:hAnsi="仿宋" w:cs="仿宋" w:hint="eastAsia"/>
          <w:sz w:val="30"/>
          <w:szCs w:val="30"/>
        </w:rPr>
        <w:t>；公车保有量为</w:t>
      </w:r>
      <w:r w:rsidR="00D92F23">
        <w:rPr>
          <w:rFonts w:ascii="仿宋" w:eastAsia="仿宋" w:hAnsi="仿宋" w:cs="仿宋" w:hint="eastAsia"/>
          <w:sz w:val="30"/>
          <w:szCs w:val="30"/>
        </w:rPr>
        <w:t>6</w:t>
      </w:r>
      <w:bookmarkStart w:id="1" w:name="_GoBack"/>
      <w:bookmarkEnd w:id="1"/>
      <w:r w:rsidR="00D92F23">
        <w:rPr>
          <w:rFonts w:ascii="仿宋" w:eastAsia="仿宋" w:hAnsi="仿宋" w:cs="仿宋" w:hint="eastAsia"/>
          <w:sz w:val="30"/>
          <w:szCs w:val="30"/>
        </w:rPr>
        <w:t>辆。</w:t>
      </w:r>
    </w:p>
    <w:p w:rsidR="00932DD4" w:rsidRDefault="00932DD4">
      <w:pPr>
        <w:spacing w:line="360" w:lineRule="auto"/>
        <w:rPr>
          <w:rFonts w:asciiTheme="majorEastAsia" w:eastAsiaTheme="majorEastAsia" w:hAnsiTheme="majorEastAsia"/>
          <w:sz w:val="32"/>
        </w:rPr>
      </w:pPr>
    </w:p>
    <w:p w:rsidR="00932DD4" w:rsidRDefault="001E31E4">
      <w:pPr>
        <w:pStyle w:val="a5"/>
        <w:spacing w:line="360" w:lineRule="auto"/>
        <w:rPr>
          <w:rFonts w:asciiTheme="majorEastAsia" w:eastAsiaTheme="majorEastAsia" w:hAnsiTheme="majorEastAsia"/>
          <w:b/>
          <w:bCs/>
          <w:sz w:val="44"/>
          <w:szCs w:val="44"/>
        </w:rPr>
      </w:pPr>
      <w:r>
        <w:rPr>
          <w:rFonts w:asciiTheme="majorEastAsia" w:eastAsiaTheme="majorEastAsia" w:hAnsiTheme="majorEastAsia" w:hint="eastAsia"/>
          <w:sz w:val="30"/>
          <w:szCs w:val="30"/>
        </w:rPr>
        <w:lastRenderedPageBreak/>
        <w:t xml:space="preserve"> </w:t>
      </w:r>
    </w:p>
    <w:p w:rsidR="001E31E4" w:rsidRPr="00363F0E" w:rsidRDefault="001E31E4" w:rsidP="001E31E4">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1E31E4" w:rsidRPr="00363F0E" w:rsidRDefault="001E31E4" w:rsidP="001E31E4">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1E31E4" w:rsidRPr="00363F0E" w:rsidRDefault="001E31E4" w:rsidP="001E31E4">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1E31E4" w:rsidRDefault="001E31E4" w:rsidP="001E31E4">
      <w:pPr>
        <w:ind w:firstLineChars="1000" w:firstLine="3600"/>
        <w:rPr>
          <w:sz w:val="36"/>
          <w:szCs w:val="36"/>
        </w:rPr>
      </w:pPr>
    </w:p>
    <w:p w:rsidR="00932DD4" w:rsidRPr="001E31E4" w:rsidRDefault="00932DD4" w:rsidP="001E31E4">
      <w:pPr>
        <w:ind w:firstLineChars="1000" w:firstLine="3012"/>
        <w:rPr>
          <w:rFonts w:asciiTheme="majorEastAsia" w:eastAsiaTheme="majorEastAsia" w:hAnsiTheme="majorEastAsia"/>
          <w:b/>
          <w:bCs/>
          <w:sz w:val="30"/>
          <w:szCs w:val="30"/>
        </w:rPr>
      </w:pPr>
    </w:p>
    <w:sectPr w:rsidR="00932DD4" w:rsidRPr="001E31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410C"/>
    <w:rsid w:val="00114291"/>
    <w:rsid w:val="00136CF2"/>
    <w:rsid w:val="001E31E4"/>
    <w:rsid w:val="00223A2D"/>
    <w:rsid w:val="003C23AA"/>
    <w:rsid w:val="00414CC8"/>
    <w:rsid w:val="004A325D"/>
    <w:rsid w:val="004B08AF"/>
    <w:rsid w:val="004F7FCA"/>
    <w:rsid w:val="005D1116"/>
    <w:rsid w:val="006C20EB"/>
    <w:rsid w:val="006D0B2B"/>
    <w:rsid w:val="00705378"/>
    <w:rsid w:val="007123CB"/>
    <w:rsid w:val="00720B3D"/>
    <w:rsid w:val="00737AE1"/>
    <w:rsid w:val="007C3C62"/>
    <w:rsid w:val="007C64AB"/>
    <w:rsid w:val="00867602"/>
    <w:rsid w:val="00932DD4"/>
    <w:rsid w:val="009D7ECB"/>
    <w:rsid w:val="00A66E2E"/>
    <w:rsid w:val="00AA047D"/>
    <w:rsid w:val="00AD3003"/>
    <w:rsid w:val="00B371DA"/>
    <w:rsid w:val="00C07874"/>
    <w:rsid w:val="00C230DB"/>
    <w:rsid w:val="00C46631"/>
    <w:rsid w:val="00CE08AD"/>
    <w:rsid w:val="00D91CA0"/>
    <w:rsid w:val="00D92F23"/>
    <w:rsid w:val="00DD4AD1"/>
    <w:rsid w:val="00DF04E0"/>
    <w:rsid w:val="00E454BB"/>
    <w:rsid w:val="00EE66DD"/>
    <w:rsid w:val="137D6BCE"/>
    <w:rsid w:val="22E4601B"/>
    <w:rsid w:val="23BB5223"/>
    <w:rsid w:val="2F1E79EA"/>
    <w:rsid w:val="322A1769"/>
    <w:rsid w:val="32FE15D1"/>
    <w:rsid w:val="40DC6A3B"/>
    <w:rsid w:val="47E131A4"/>
    <w:rsid w:val="5D6E66BE"/>
    <w:rsid w:val="777D7ECB"/>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996A-F63D-44FB-BEF1-95119C61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56F52-823B-4D74-965B-8A515994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573</Words>
  <Characters>3267</Characters>
  <Application>Microsoft Office Word</Application>
  <DocSecurity>0</DocSecurity>
  <Lines>27</Lines>
  <Paragraphs>7</Paragraphs>
  <ScaleCrop>false</ScaleCrop>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24</cp:revision>
  <dcterms:created xsi:type="dcterms:W3CDTF">2018-04-07T10:42:00Z</dcterms:created>
  <dcterms:modified xsi:type="dcterms:W3CDTF">2019-04-04T09:33:00Z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