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黑体" w:hAnsiTheme="majorEastAsia"/>
          <w:sz w:val="44"/>
          <w:szCs w:val="44"/>
        </w:rPr>
      </w:pPr>
      <w:bookmarkStart w:id="0" w:name="_GoBack"/>
      <w:r>
        <w:rPr>
          <w:rFonts w:hint="eastAsia" w:ascii="方正小标宋简体" w:eastAsia="方正小标宋简体" w:cs="黑体" w:hAnsiTheme="majorEastAsia"/>
          <w:sz w:val="44"/>
          <w:szCs w:val="44"/>
        </w:rPr>
        <w:t>双湖县自治区环保督察反馈意见（09-03）整改任务完成情况公示表</w:t>
      </w:r>
    </w:p>
    <w:bookmarkEnd w:id="0"/>
    <w:tbl>
      <w:tblPr>
        <w:tblStyle w:val="6"/>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 xml:space="preserve">反馈问题  </w:t>
            </w:r>
          </w:p>
        </w:tc>
        <w:tc>
          <w:tcPr>
            <w:tcW w:w="6571" w:type="dxa"/>
            <w:vAlign w:val="center"/>
          </w:tcPr>
          <w:p>
            <w:pPr>
              <w:widowControl w:val="0"/>
              <w:spacing w:after="0"/>
              <w:ind w:firstLine="640" w:firstLineChars="200"/>
              <w:jc w:val="left"/>
              <w:rPr>
                <w:rFonts w:ascii="仿宋" w:hAnsi="仿宋" w:eastAsia="仿宋" w:cs="仿宋_GB2312"/>
                <w:color w:val="000000"/>
                <w:sz w:val="32"/>
                <w:szCs w:val="32"/>
              </w:rPr>
            </w:pPr>
            <w:r>
              <w:rPr>
                <w:rFonts w:hint="eastAsia" w:ascii="仿宋" w:hAnsi="仿宋" w:eastAsia="仿宋" w:cs="方正仿宋简体"/>
                <w:sz w:val="32"/>
                <w:szCs w:val="32"/>
              </w:rPr>
              <w:t>那曲市砂石采挖行业发展无序、管理混乱，各县（区）普遍以扶贫名义设置砂石场，全市场有砂石场132家，仅色尼区那么切乡七村就设置了5家砂石场。各县（区）对所辖砂石场“未批先建”违法行为未得到有效遏制，有92家砂石场未办理环境手续，绝大部分砂石场未落实相关环境保护“三同时”制度，砂石场扬尘污染和生态破坏严重。巴青县拉西镇玉池采砂有限公司等砂石场违规开展水泥制砖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责任单位</w:t>
            </w:r>
          </w:p>
        </w:tc>
        <w:tc>
          <w:tcPr>
            <w:tcW w:w="6571" w:type="dxa"/>
            <w:vAlign w:val="center"/>
          </w:tcPr>
          <w:p>
            <w:pPr>
              <w:widowControl w:val="0"/>
              <w:spacing w:after="0"/>
              <w:jc w:val="center"/>
              <w:rPr>
                <w:rFonts w:ascii="仿宋" w:hAnsi="仿宋" w:eastAsia="仿宋" w:cs="仿宋_GB2312"/>
                <w:color w:val="000000"/>
                <w:sz w:val="32"/>
                <w:szCs w:val="32"/>
              </w:rPr>
            </w:pPr>
            <w:r>
              <w:rPr>
                <w:rFonts w:hint="eastAsia" w:ascii="仿宋" w:hAnsi="仿宋" w:eastAsia="仿宋" w:cs="仿宋_GB2312"/>
                <w:color w:val="000000"/>
                <w:sz w:val="32"/>
                <w:szCs w:val="32"/>
              </w:rPr>
              <w:t>双湖县人民政府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责任人</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联系电话</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整改目标</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制定问题清单，严厉查处采矿、挖沙采石、杜绝违法违规开采，严格落实环境保护和水土保持“三同时”制度。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整改措施</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各县（区）根据市人民政府批准后的《那曲市砂石资源开发利用整改工作方案》，完善需保留砂石开采企业相关手续，落实环境保护和水土保持“三同时”制度。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整改主要工作成效</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经调查了解，目前在我县境内共有9家砂石场，具备河道采砂证的有6家。我县要求各乡(镇)将确定的合作组织砂石场尽快办理相关手续。</w:t>
            </w:r>
          </w:p>
        </w:tc>
      </w:tr>
    </w:tbl>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520" w:lineRule="exact"/>
        <w:jc w:val="center"/>
        <w:rPr>
          <w:rFonts w:ascii="方正小标宋简体" w:eastAsia="方正小标宋简体" w:cs="黑体" w:hAnsiTheme="majorEastAsia"/>
          <w:sz w:val="44"/>
          <w:szCs w:val="44"/>
        </w:rPr>
      </w:pPr>
      <w:r>
        <w:rPr>
          <w:rFonts w:hint="eastAsia" w:ascii="方正小标宋简体" w:eastAsia="方正小标宋简体" w:cs="黑体" w:hAnsiTheme="majorEastAsia"/>
          <w:sz w:val="44"/>
          <w:szCs w:val="44"/>
        </w:rPr>
        <w:t>双湖县自治区环保督察反馈意见（12-03）整改任务完成情况公示表</w:t>
      </w:r>
    </w:p>
    <w:tbl>
      <w:tblPr>
        <w:tblStyle w:val="6"/>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 xml:space="preserve">反馈问题  </w:t>
            </w:r>
          </w:p>
        </w:tc>
        <w:tc>
          <w:tcPr>
            <w:tcW w:w="6571" w:type="dxa"/>
            <w:vAlign w:val="center"/>
          </w:tcPr>
          <w:p>
            <w:pPr>
              <w:widowControl w:val="0"/>
              <w:spacing w:after="0"/>
              <w:ind w:firstLine="640" w:firstLineChars="200"/>
              <w:jc w:val="left"/>
              <w:rPr>
                <w:rFonts w:ascii="仿宋" w:hAnsi="仿宋" w:eastAsia="仿宋" w:cs="仿宋_GB2312"/>
                <w:color w:val="000000"/>
                <w:sz w:val="32"/>
                <w:szCs w:val="32"/>
              </w:rPr>
            </w:pPr>
            <w:r>
              <w:rPr>
                <w:rFonts w:hint="eastAsia" w:ascii="仿宋" w:hAnsi="仿宋" w:eastAsia="仿宋" w:cs="方正仿宋简体"/>
                <w:sz w:val="32"/>
                <w:szCs w:val="32"/>
              </w:rPr>
              <w:t>目前那曲市各县（区）均开展大规模城镇建设，但相关部门对新建项目施工过程中的扬尘污染、建筑垃圾等问题的监管不力，县城周边扬尘污染严重，建筑垃圾随意堆放。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责任单位</w:t>
            </w:r>
          </w:p>
        </w:tc>
        <w:tc>
          <w:tcPr>
            <w:tcW w:w="6571" w:type="dxa"/>
            <w:vAlign w:val="center"/>
          </w:tcPr>
          <w:p>
            <w:pPr>
              <w:widowControl w:val="0"/>
              <w:spacing w:after="0"/>
              <w:ind w:firstLine="1600" w:firstLineChars="500"/>
              <w:jc w:val="both"/>
              <w:rPr>
                <w:rFonts w:ascii="仿宋" w:hAnsi="仿宋" w:eastAsia="仿宋" w:cs="仿宋_GB2312"/>
                <w:color w:val="000000"/>
                <w:sz w:val="32"/>
                <w:szCs w:val="32"/>
              </w:rPr>
            </w:pPr>
            <w:r>
              <w:rPr>
                <w:rFonts w:hint="eastAsia" w:ascii="仿宋" w:hAnsi="仿宋" w:eastAsia="仿宋" w:cs="仿宋_GB2312"/>
                <w:color w:val="000000"/>
                <w:sz w:val="32"/>
                <w:szCs w:val="32"/>
              </w:rPr>
              <w:t>双湖县人民政府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责任人</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联系电话</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整改目标</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合理设置城镇建筑垃圾弃渣场，严肃查处建筑垃圾随意倾倒、堆放等违法行为。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整改措施</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合理设置城镇建筑垃圾弃渣场，严肃查处建筑垃圾随意倾倒、堆放等违法行为。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整改主要工作成效</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我县严格规定建筑垃圾倾倒地点，县住建局对我县建筑垃圾倾倒点进行规范化管理，县环保部门进行监督。</w:t>
            </w:r>
          </w:p>
        </w:tc>
      </w:tr>
    </w:tbl>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520" w:lineRule="exact"/>
        <w:rPr>
          <w:rFonts w:ascii="方正小标宋简体" w:eastAsia="方正小标宋简体" w:cs="黑体" w:hAnsiTheme="majorEastAsia"/>
          <w:sz w:val="44"/>
          <w:szCs w:val="44"/>
        </w:rPr>
      </w:pPr>
      <w:r>
        <w:rPr>
          <w:rFonts w:hint="eastAsia" w:ascii="方正小标宋简体" w:eastAsia="方正小标宋简体" w:cs="黑体" w:hAnsiTheme="majorEastAsia"/>
          <w:sz w:val="44"/>
          <w:szCs w:val="44"/>
        </w:rPr>
        <w:t>双湖县自治区环保督察反馈意见（13-01）整改任务完成情况公示表</w:t>
      </w:r>
    </w:p>
    <w:tbl>
      <w:tblPr>
        <w:tblStyle w:val="6"/>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 xml:space="preserve">反馈问题  </w:t>
            </w:r>
          </w:p>
        </w:tc>
        <w:tc>
          <w:tcPr>
            <w:tcW w:w="6571" w:type="dxa"/>
            <w:vAlign w:val="center"/>
          </w:tcPr>
          <w:p>
            <w:pPr>
              <w:widowControl w:val="0"/>
              <w:spacing w:after="0"/>
              <w:ind w:firstLine="640" w:firstLineChars="200"/>
              <w:jc w:val="left"/>
              <w:rPr>
                <w:rFonts w:ascii="仿宋" w:hAnsi="仿宋" w:eastAsia="仿宋" w:cs="仿宋_GB2312"/>
                <w:color w:val="000000"/>
                <w:sz w:val="32"/>
                <w:szCs w:val="32"/>
              </w:rPr>
            </w:pPr>
            <w:r>
              <w:rPr>
                <w:rFonts w:hint="eastAsia" w:ascii="仿宋" w:hAnsi="仿宋" w:eastAsia="仿宋" w:cs="方正仿宋简体"/>
                <w:sz w:val="32"/>
                <w:szCs w:val="32"/>
              </w:rPr>
              <w:t>那曲市各县（区）生活垃圾收集、清运、中转环节不规范，生活垃圾随意丢弃、乱堆乱放现象普遍存在，县城环境“脏、乱、差”问题未得到根本改善。如：那曲市色尼区那曲镇高原路有较多小焊接个体户占用人行道进行焊接及喷漆作业，废油漆对周边地面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责任单位</w:t>
            </w:r>
          </w:p>
        </w:tc>
        <w:tc>
          <w:tcPr>
            <w:tcW w:w="6571" w:type="dxa"/>
            <w:vAlign w:val="center"/>
          </w:tcPr>
          <w:p>
            <w:pPr>
              <w:widowControl w:val="0"/>
              <w:spacing w:after="0"/>
              <w:jc w:val="center"/>
              <w:rPr>
                <w:rFonts w:ascii="仿宋" w:hAnsi="仿宋" w:eastAsia="仿宋" w:cs="仿宋_GB2312"/>
                <w:color w:val="000000"/>
                <w:sz w:val="32"/>
                <w:szCs w:val="32"/>
              </w:rPr>
            </w:pPr>
            <w:r>
              <w:rPr>
                <w:rFonts w:hint="eastAsia" w:ascii="仿宋" w:hAnsi="仿宋" w:eastAsia="仿宋" w:cs="仿宋_GB2312"/>
                <w:color w:val="000000"/>
                <w:sz w:val="32"/>
                <w:szCs w:val="32"/>
              </w:rPr>
              <w:t>双湖县人民政府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责任人</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联系电话</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整改目标</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按照整改总体方案要求，建立了《双湖县环境卫生清扫管理制度》《双湖县环境卫生责任划分表》，划分环境卫生保洁责任区，明确各自职责要求。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整改措施</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市政市容委、各县（区）人民政府建立生活垃圾收集清运管理长效机制，划定责任片区，明确工作要求。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整改主要工作成效</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根据整改的总体方案，划分了责任片区，成立了环境卫生保护领导小组、环境与卫生保护工作监督考核领导。</w:t>
            </w:r>
          </w:p>
        </w:tc>
      </w:tr>
    </w:tbl>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rPr>
          <w:rFonts w:hint="eastAsia" w:cs="黑体" w:asciiTheme="majorEastAsia" w:hAnsiTheme="majorEastAsia" w:eastAsiaTheme="majorEastAsia"/>
          <w:b/>
          <w:bCs/>
          <w:sz w:val="44"/>
          <w:szCs w:val="44"/>
        </w:rPr>
      </w:pPr>
    </w:p>
    <w:p>
      <w:pPr>
        <w:rPr>
          <w:rFonts w:hint="eastAsia" w:cs="黑体" w:asciiTheme="majorEastAsia" w:hAnsiTheme="majorEastAsia" w:eastAsiaTheme="majorEastAsia"/>
          <w:b/>
          <w:bCs/>
          <w:sz w:val="44"/>
          <w:szCs w:val="44"/>
        </w:rPr>
      </w:pPr>
    </w:p>
    <w:p>
      <w:pPr>
        <w:rPr>
          <w:rFonts w:hint="eastAsia" w:cs="黑体" w:asciiTheme="majorEastAsia" w:hAnsiTheme="majorEastAsia" w:eastAsiaTheme="majorEastAsia"/>
          <w:b/>
          <w:bCs/>
          <w:sz w:val="44"/>
          <w:szCs w:val="44"/>
        </w:rPr>
      </w:pPr>
    </w:p>
    <w:p>
      <w:pPr>
        <w:rPr>
          <w:rFonts w:hint="eastAsia" w:cs="黑体" w:asciiTheme="majorEastAsia" w:hAnsiTheme="majorEastAsia" w:eastAsiaTheme="majorEastAsia"/>
          <w:b/>
          <w:bCs/>
          <w:sz w:val="44"/>
          <w:szCs w:val="44"/>
        </w:rPr>
      </w:pPr>
    </w:p>
    <w:p>
      <w:pPr>
        <w:rPr>
          <w:rFonts w:hint="eastAsia" w:cs="黑体" w:asciiTheme="majorEastAsia" w:hAnsiTheme="majorEastAsia" w:eastAsiaTheme="majorEastAsia"/>
          <w:b/>
          <w:bCs/>
          <w:sz w:val="44"/>
          <w:szCs w:val="44"/>
        </w:rPr>
      </w:pPr>
    </w:p>
    <w:p>
      <w:pPr>
        <w:rPr>
          <w:rFonts w:cs="黑体" w:asciiTheme="majorEastAsia" w:hAnsiTheme="majorEastAsia" w:eastAsiaTheme="majorEastAsia"/>
          <w:b/>
          <w:bCs/>
          <w:sz w:val="44"/>
          <w:szCs w:val="44"/>
        </w:rPr>
      </w:pPr>
    </w:p>
    <w:p>
      <w:pPr>
        <w:spacing w:line="520" w:lineRule="exact"/>
        <w:jc w:val="center"/>
        <w:rPr>
          <w:rFonts w:ascii="方正小标宋简体" w:eastAsia="方正小标宋简体" w:cs="黑体" w:hAnsiTheme="majorEastAsia"/>
          <w:sz w:val="44"/>
          <w:szCs w:val="44"/>
        </w:rPr>
      </w:pPr>
      <w:r>
        <w:rPr>
          <w:rFonts w:hint="eastAsia" w:ascii="方正小标宋简体" w:eastAsia="方正小标宋简体" w:cs="黑体" w:hAnsiTheme="majorEastAsia"/>
          <w:sz w:val="44"/>
          <w:szCs w:val="44"/>
        </w:rPr>
        <w:t>双湖县自治区环保督察反馈意见（14-03）整改任务完成情况公示表</w:t>
      </w:r>
    </w:p>
    <w:tbl>
      <w:tblPr>
        <w:tblStyle w:val="6"/>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 xml:space="preserve">反馈问题  </w:t>
            </w:r>
          </w:p>
        </w:tc>
        <w:tc>
          <w:tcPr>
            <w:tcW w:w="6571" w:type="dxa"/>
            <w:vAlign w:val="center"/>
          </w:tcPr>
          <w:p>
            <w:pPr>
              <w:widowControl w:val="0"/>
              <w:spacing w:after="0"/>
              <w:ind w:firstLine="640" w:firstLineChars="200"/>
              <w:jc w:val="left"/>
              <w:rPr>
                <w:rFonts w:ascii="仿宋" w:hAnsi="仿宋" w:eastAsia="仿宋" w:cs="仿宋_GB2312"/>
                <w:color w:val="000000"/>
                <w:sz w:val="32"/>
                <w:szCs w:val="32"/>
              </w:rPr>
            </w:pPr>
            <w:r>
              <w:rPr>
                <w:rFonts w:hint="eastAsia" w:ascii="仿宋" w:hAnsi="仿宋" w:eastAsia="仿宋" w:cs="方正仿宋简体"/>
                <w:sz w:val="32"/>
                <w:szCs w:val="32"/>
              </w:rPr>
              <w:t>那曲市生活垃圾填埋场运行管理不规范。那曲镇垃圾填埋场垃圾进场计量和消毒灭蝇药品记录台账不规范，有涂改痕迹，周边有大量蚊蝇及臭味；进场道路未硬化，也未采取其他降尘措施，垃圾运输过程中产生大量扬尘；渗漏液收集池井盖未封闭，渗漏液回喷系统无应急电源。巴青县生活垃圾填埋场存在渗滤液收集池渗滤液渗漏现象，垃圾填埋场内积水，灭蚊灭蝇工作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责任单位</w:t>
            </w:r>
          </w:p>
        </w:tc>
        <w:tc>
          <w:tcPr>
            <w:tcW w:w="6571" w:type="dxa"/>
            <w:vAlign w:val="center"/>
          </w:tcPr>
          <w:p>
            <w:pPr>
              <w:widowControl w:val="0"/>
              <w:spacing w:after="0"/>
              <w:jc w:val="center"/>
              <w:rPr>
                <w:rFonts w:ascii="仿宋" w:hAnsi="仿宋" w:eastAsia="仿宋" w:cs="仿宋_GB2312"/>
                <w:color w:val="000000"/>
                <w:sz w:val="32"/>
                <w:szCs w:val="32"/>
              </w:rPr>
            </w:pPr>
            <w:r>
              <w:rPr>
                <w:rFonts w:hint="eastAsia" w:ascii="仿宋" w:hAnsi="仿宋" w:eastAsia="仿宋" w:cs="仿宋_GB2312"/>
                <w:color w:val="000000"/>
                <w:sz w:val="32"/>
                <w:szCs w:val="32"/>
              </w:rPr>
              <w:t>双湖县人民政府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责任人</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联系电话</w:t>
            </w:r>
          </w:p>
        </w:tc>
        <w:tc>
          <w:tcPr>
            <w:tcW w:w="6571" w:type="dxa"/>
            <w:vAlign w:val="center"/>
          </w:tcPr>
          <w:p>
            <w:pPr>
              <w:widowControl w:val="0"/>
              <w:spacing w:after="0"/>
              <w:jc w:val="center"/>
              <w:rPr>
                <w:rFonts w:ascii="仿宋" w:hAnsi="仿宋" w:eastAsia="仿宋"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6"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整改目标</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县住建局、环保局定期对垃圾填埋场进行监督检查，均能做到操作规范、管理到位。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整改措施</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各县（区）进一步规范垃圾填埋场运行及管理，健全完善《垃圾填埋场管理制度》《垃圾填埋场安全管理规定》《垃圾填埋场操作管理制度》等，做到操作规范、管理到位，消除环境安全隐患。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trPr>
        <w:tc>
          <w:tcPr>
            <w:tcW w:w="1985" w:type="dxa"/>
            <w:vAlign w:val="center"/>
          </w:tcPr>
          <w:p>
            <w:pPr>
              <w:widowControl w:val="0"/>
              <w:spacing w:after="0"/>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整改主要工作成效</w:t>
            </w:r>
          </w:p>
        </w:tc>
        <w:tc>
          <w:tcPr>
            <w:tcW w:w="6571" w:type="dxa"/>
            <w:vAlign w:val="center"/>
          </w:tcPr>
          <w:p>
            <w:pPr>
              <w:widowControl w:val="0"/>
              <w:spacing w:after="0"/>
              <w:ind w:firstLine="640" w:firstLineChars="200"/>
              <w:jc w:val="left"/>
              <w:rPr>
                <w:rFonts w:ascii="仿宋" w:hAnsi="仿宋" w:eastAsia="仿宋" w:cs="方正仿宋简体"/>
                <w:color w:val="000000"/>
                <w:sz w:val="32"/>
                <w:szCs w:val="32"/>
              </w:rPr>
            </w:pPr>
            <w:r>
              <w:rPr>
                <w:rFonts w:hint="eastAsia" w:ascii="仿宋" w:hAnsi="仿宋" w:eastAsia="仿宋" w:cs="方正仿宋简体"/>
                <w:sz w:val="32"/>
                <w:szCs w:val="32"/>
              </w:rPr>
              <w:t>县住建局、环保局定期对垃圾填埋场进行监督检查，均能做到操作规范、管理到位。</w:t>
            </w:r>
          </w:p>
        </w:tc>
      </w:tr>
    </w:tbl>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jc w:val="center"/>
        <w:rPr>
          <w:rFonts w:cs="黑体" w:asciiTheme="majorEastAsia" w:hAnsiTheme="majorEastAsia" w:eastAsiaTheme="majorEastAsia"/>
          <w:b/>
          <w:bCs/>
          <w:sz w:val="44"/>
          <w:szCs w:val="44"/>
        </w:rPr>
      </w:pPr>
    </w:p>
    <w:p>
      <w:pPr>
        <w:rPr>
          <w:rFonts w:cs="黑体" w:asciiTheme="majorEastAsia" w:hAnsiTheme="majorEastAsia" w:eastAsiaTheme="majorEastAsia"/>
          <w:b/>
          <w:bCs/>
          <w:sz w:val="44"/>
          <w:szCs w:val="44"/>
        </w:rPr>
      </w:pPr>
    </w:p>
    <w:p>
      <w:pPr>
        <w:rPr>
          <w:rFonts w:cs="黑体" w:asciiTheme="majorEastAsia" w:hAnsiTheme="majorEastAsia" w:eastAsiaTheme="majorEastAsia"/>
          <w:b/>
          <w:bCs/>
          <w:sz w:val="44"/>
          <w:szCs w:val="44"/>
        </w:rPr>
      </w:pPr>
    </w:p>
    <w:p>
      <w:pPr>
        <w:rPr>
          <w:rFonts w:cs="黑体" w:asciiTheme="majorEastAsia" w:hAnsiTheme="majorEastAsia" w:eastAsiaTheme="majorEastAsia"/>
          <w:b/>
          <w:bCs/>
          <w:sz w:val="44"/>
          <w:szCs w:val="44"/>
        </w:rPr>
      </w:pPr>
    </w:p>
    <w:p>
      <w:pPr>
        <w:rPr>
          <w:rFonts w:cs="黑体" w:asciiTheme="majorEastAsia" w:hAnsiTheme="majorEastAsia" w:eastAsiaTheme="majorEastAsia"/>
          <w:b/>
          <w:bCs/>
          <w:sz w:val="44"/>
          <w:szCs w:val="44"/>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00000001" w:usb1="08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思源黑体 CN"/>
    <w:panose1 w:val="02010609060101010101"/>
    <w:charset w:val="86"/>
    <w:family w:val="modern"/>
    <w:pitch w:val="default"/>
    <w:sig w:usb0="00000000" w:usb1="00000000" w:usb2="00000016" w:usb3="00000000" w:csb0="00040001" w:csb1="00000000"/>
  </w:font>
  <w:font w:name="方正仿宋简体">
    <w:panose1 w:val="02000000000000000000"/>
    <w:charset w:val="86"/>
    <w:family w:val="script"/>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977DEB"/>
    <w:rsid w:val="00AC2437"/>
    <w:rsid w:val="00AF15A3"/>
    <w:rsid w:val="00C778F2"/>
    <w:rsid w:val="00D31D50"/>
    <w:rsid w:val="00F07B32"/>
    <w:rsid w:val="5CEC9D34"/>
    <w:rsid w:val="BFCEB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236</Words>
  <Characters>1348</Characters>
  <Lines>11</Lines>
  <Paragraphs>3</Paragraphs>
  <TotalTime>5</TotalTime>
  <ScaleCrop>false</ScaleCrop>
  <LinksUpToDate>false</LinksUpToDate>
  <CharactersWithSpaces>1581</CharactersWithSpaces>
  <Application>WPS Office_10.8.0.6916_F1E327BC-269C-435d-A152-05C5408002CA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xzxx</cp:lastModifiedBy>
  <dcterms:modified xsi:type="dcterms:W3CDTF">2019-06-13T17:32:47Z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2052-10.8.0.6916</vt:lpwstr>
  </property>
</Properties>
</file>